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A5" w:rsidRDefault="0048315A" w:rsidP="00C83EA5">
      <w:pPr>
        <w:rPr>
          <w:b/>
          <w:bCs/>
        </w:rPr>
      </w:pPr>
      <w:r>
        <w:rPr>
          <w:b/>
          <w:bCs/>
        </w:rPr>
        <w:t xml:space="preserve">MINNESOTA VALLEY COOPERATIVE </w:t>
      </w:r>
      <w:r w:rsidR="00C83EA5">
        <w:rPr>
          <w:b/>
          <w:bCs/>
        </w:rPr>
        <w:t xml:space="preserve">LIGHT </w:t>
      </w:r>
      <w:smartTag w:uri="urn:schemas-microsoft-com:office:smarttags" w:element="stockticker">
        <w:r w:rsidR="00C83EA5">
          <w:rPr>
            <w:b/>
            <w:bCs/>
          </w:rPr>
          <w:t>AND</w:t>
        </w:r>
      </w:smartTag>
      <w:r w:rsidR="00C83EA5">
        <w:rPr>
          <w:b/>
          <w:bCs/>
        </w:rPr>
        <w:t xml:space="preserve"> POWER ASSOCIATION </w:t>
      </w:r>
    </w:p>
    <w:p w:rsidR="0048315A" w:rsidRDefault="0048315A" w:rsidP="00C83EA5">
      <w:pPr>
        <w:rPr>
          <w:b/>
          <w:bCs/>
        </w:rPr>
      </w:pPr>
      <w:r>
        <w:rPr>
          <w:b/>
          <w:bCs/>
        </w:rPr>
        <w:t>SCHEDULES FOR CO</w:t>
      </w:r>
      <w:r w:rsidR="00C83EA5">
        <w:rPr>
          <w:b/>
          <w:bCs/>
        </w:rPr>
        <w:t>-</w:t>
      </w:r>
      <w:r>
        <w:rPr>
          <w:b/>
          <w:bCs/>
        </w:rPr>
        <w:t xml:space="preserve">GENERATION </w:t>
      </w:r>
      <w:r w:rsidR="00C83EA5">
        <w:rPr>
          <w:b/>
          <w:bCs/>
        </w:rPr>
        <w:t>AND SMALL POWER PRODUCTION</w:t>
      </w:r>
    </w:p>
    <w:p w:rsidR="006736C9" w:rsidRDefault="006736C9" w:rsidP="00683072"/>
    <w:tbl>
      <w:tblPr>
        <w:tblW w:w="8889" w:type="dxa"/>
        <w:tblInd w:w="108" w:type="dxa"/>
        <w:tblLook w:val="04A0" w:firstRow="1" w:lastRow="0" w:firstColumn="1" w:lastColumn="0" w:noHBand="0" w:noVBand="1"/>
      </w:tblPr>
      <w:tblGrid>
        <w:gridCol w:w="5805"/>
        <w:gridCol w:w="341"/>
        <w:gridCol w:w="2743"/>
      </w:tblGrid>
      <w:tr w:rsidR="00132D58" w:rsidTr="00132D58">
        <w:trPr>
          <w:trHeight w:val="300"/>
        </w:trPr>
        <w:tc>
          <w:tcPr>
            <w:tcW w:w="8889" w:type="dxa"/>
            <w:gridSpan w:val="3"/>
            <w:noWrap/>
            <w:vAlign w:val="bottom"/>
            <w:hideMark/>
          </w:tcPr>
          <w:p w:rsidR="00132D58" w:rsidRDefault="00C73046">
            <w:pPr>
              <w:autoSpaceDE/>
              <w:rPr>
                <w:color w:val="000000"/>
                <w:sz w:val="32"/>
              </w:rPr>
            </w:pPr>
            <w:r>
              <w:rPr>
                <w:b/>
                <w:color w:val="000000"/>
                <w:sz w:val="32"/>
                <w:u w:val="single"/>
              </w:rPr>
              <w:t>Single Phase</w:t>
            </w:r>
            <w:r w:rsidR="00132D58">
              <w:rPr>
                <w:b/>
                <w:color w:val="000000"/>
                <w:sz w:val="32"/>
                <w:u w:val="single"/>
              </w:rPr>
              <w:t xml:space="preserve"> Average Retail Rate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kWh’s Sold</w:t>
            </w:r>
          </w:p>
        </w:tc>
        <w:tc>
          <w:tcPr>
            <w:tcW w:w="341" w:type="dxa"/>
            <w:noWrap/>
            <w:vAlign w:val="bottom"/>
            <w:hideMark/>
          </w:tcPr>
          <w:p w:rsidR="00132D58" w:rsidRDefault="00132D58">
            <w:pPr>
              <w:rPr>
                <w:color w:val="000000"/>
              </w:rPr>
            </w:pPr>
          </w:p>
        </w:tc>
        <w:tc>
          <w:tcPr>
            <w:tcW w:w="2743" w:type="dxa"/>
            <w:noWrap/>
            <w:vAlign w:val="bottom"/>
            <w:hideMark/>
          </w:tcPr>
          <w:p w:rsidR="00132D58" w:rsidRDefault="00132D58" w:rsidP="00C73046">
            <w:pPr>
              <w:autoSpaceDE/>
              <w:rPr>
                <w:color w:val="000000"/>
              </w:rPr>
            </w:pPr>
            <w:r>
              <w:rPr>
                <w:color w:val="000000"/>
              </w:rPr>
              <w:t xml:space="preserve">                       </w:t>
            </w:r>
            <w:r w:rsidR="00C73046">
              <w:rPr>
                <w:color w:val="000000"/>
              </w:rPr>
              <w:t>130,337,254</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Availability Charges</w:t>
            </w:r>
          </w:p>
        </w:tc>
        <w:tc>
          <w:tcPr>
            <w:tcW w:w="341" w:type="dxa"/>
            <w:noWrap/>
            <w:vAlign w:val="bottom"/>
            <w:hideMark/>
          </w:tcPr>
          <w:p w:rsidR="00132D58" w:rsidRDefault="00132D58">
            <w:pPr>
              <w:rPr>
                <w:color w:val="000000"/>
              </w:rPr>
            </w:pPr>
          </w:p>
        </w:tc>
        <w:tc>
          <w:tcPr>
            <w:tcW w:w="2743" w:type="dxa"/>
            <w:tcBorders>
              <w:top w:val="nil"/>
              <w:left w:val="nil"/>
              <w:bottom w:val="single" w:sz="4" w:space="0" w:color="auto"/>
              <w:right w:val="nil"/>
            </w:tcBorders>
            <w:noWrap/>
            <w:vAlign w:val="bottom"/>
            <w:hideMark/>
          </w:tcPr>
          <w:p w:rsidR="00132D58" w:rsidRDefault="00C73046" w:rsidP="00490496">
            <w:pPr>
              <w:autoSpaceDE/>
              <w:rPr>
                <w:color w:val="000000"/>
              </w:rPr>
            </w:pPr>
            <w:r>
              <w:rPr>
                <w:color w:val="000000"/>
              </w:rPr>
              <w:t xml:space="preserve"> $                        1,176,120</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Total Charges</w:t>
            </w:r>
          </w:p>
        </w:tc>
        <w:tc>
          <w:tcPr>
            <w:tcW w:w="341" w:type="dxa"/>
            <w:noWrap/>
            <w:vAlign w:val="bottom"/>
            <w:hideMark/>
          </w:tcPr>
          <w:p w:rsidR="00132D58" w:rsidRDefault="00132D58">
            <w:pPr>
              <w:rPr>
                <w:color w:val="000000"/>
              </w:rPr>
            </w:pPr>
          </w:p>
        </w:tc>
        <w:tc>
          <w:tcPr>
            <w:tcW w:w="2743" w:type="dxa"/>
            <w:noWrap/>
            <w:vAlign w:val="bottom"/>
            <w:hideMark/>
          </w:tcPr>
          <w:p w:rsidR="00132D58" w:rsidRDefault="00132D58" w:rsidP="00C73046">
            <w:pPr>
              <w:autoSpaceDE/>
              <w:rPr>
                <w:color w:val="000000"/>
              </w:rPr>
            </w:pPr>
            <w:r>
              <w:rPr>
                <w:color w:val="000000"/>
              </w:rPr>
              <w:t xml:space="preserve"> $                      </w:t>
            </w:r>
            <w:r w:rsidR="00C73046">
              <w:rPr>
                <w:color w:val="000000"/>
              </w:rPr>
              <w:t>13,372,256</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Energy Charges</w:t>
            </w:r>
          </w:p>
        </w:tc>
        <w:tc>
          <w:tcPr>
            <w:tcW w:w="341" w:type="dxa"/>
            <w:noWrap/>
            <w:vAlign w:val="bottom"/>
            <w:hideMark/>
          </w:tcPr>
          <w:p w:rsidR="00132D58" w:rsidRDefault="00132D58">
            <w:pPr>
              <w:rPr>
                <w:color w:val="000000"/>
              </w:rPr>
            </w:pPr>
          </w:p>
        </w:tc>
        <w:tc>
          <w:tcPr>
            <w:tcW w:w="2743" w:type="dxa"/>
            <w:tcBorders>
              <w:top w:val="nil"/>
              <w:left w:val="nil"/>
              <w:bottom w:val="single" w:sz="4" w:space="0" w:color="auto"/>
              <w:right w:val="nil"/>
            </w:tcBorders>
            <w:noWrap/>
            <w:vAlign w:val="bottom"/>
            <w:hideMark/>
          </w:tcPr>
          <w:p w:rsidR="00132D58" w:rsidRDefault="00132D58" w:rsidP="00490496">
            <w:pPr>
              <w:autoSpaceDE/>
              <w:rPr>
                <w:color w:val="000000"/>
              </w:rPr>
            </w:pPr>
            <w:r>
              <w:rPr>
                <w:color w:val="000000"/>
              </w:rPr>
              <w:t xml:space="preserve"> $                      </w:t>
            </w:r>
            <w:r w:rsidR="00C73046">
              <w:rPr>
                <w:color w:val="000000"/>
              </w:rPr>
              <w:t>12,196,136</w:t>
            </w:r>
            <w:r>
              <w:rPr>
                <w:color w:val="000000"/>
              </w:rPr>
              <w:t xml:space="preserv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Average Retail Rate/kWh</w:t>
            </w:r>
          </w:p>
        </w:tc>
        <w:tc>
          <w:tcPr>
            <w:tcW w:w="341" w:type="dxa"/>
            <w:noWrap/>
            <w:vAlign w:val="bottom"/>
            <w:hideMark/>
          </w:tcPr>
          <w:p w:rsidR="00132D58" w:rsidRDefault="00132D58">
            <w:pPr>
              <w:rPr>
                <w:color w:val="000000"/>
              </w:rPr>
            </w:pPr>
          </w:p>
        </w:tc>
        <w:tc>
          <w:tcPr>
            <w:tcW w:w="2743" w:type="dxa"/>
            <w:noWrap/>
            <w:vAlign w:val="bottom"/>
            <w:hideMark/>
          </w:tcPr>
          <w:p w:rsidR="00132D58" w:rsidRDefault="00490496" w:rsidP="00C73046">
            <w:pPr>
              <w:autoSpaceDE/>
              <w:rPr>
                <w:color w:val="000000"/>
              </w:rPr>
            </w:pPr>
            <w:r>
              <w:rPr>
                <w:color w:val="000000"/>
              </w:rPr>
              <w:t xml:space="preserve"> $                           </w:t>
            </w:r>
            <w:r w:rsidR="00132D58">
              <w:rPr>
                <w:color w:val="000000"/>
              </w:rPr>
              <w:t>0.09</w:t>
            </w:r>
            <w:r>
              <w:rPr>
                <w:color w:val="000000"/>
              </w:rPr>
              <w:t>3</w:t>
            </w:r>
            <w:r w:rsidR="00C73046">
              <w:rPr>
                <w:color w:val="000000"/>
              </w:rPr>
              <w:t>57</w:t>
            </w:r>
          </w:p>
        </w:tc>
      </w:tr>
    </w:tbl>
    <w:p w:rsidR="00132D58" w:rsidRDefault="00132D58" w:rsidP="00132D58"/>
    <w:p w:rsidR="00132D58" w:rsidRDefault="00132D58" w:rsidP="00132D58">
      <w:pPr>
        <w:pStyle w:val="Default"/>
      </w:pPr>
      <w:r>
        <w:rPr>
          <w:b/>
        </w:rPr>
        <w:t xml:space="preserve">Average Retail Rate: </w:t>
      </w:r>
      <w:r w:rsidR="00C73046">
        <w:t>$0.09357</w:t>
      </w:r>
      <w:r>
        <w:t xml:space="preserve"> per kWh </w:t>
      </w:r>
      <w:r w:rsidR="00490496">
        <w:t>(Single Phase)</w:t>
      </w:r>
    </w:p>
    <w:p w:rsidR="00132D58" w:rsidRDefault="00132D58" w:rsidP="00132D58">
      <w:pPr>
        <w:pStyle w:val="Default"/>
      </w:pPr>
    </w:p>
    <w:p w:rsidR="00132D58" w:rsidRDefault="00132D58" w:rsidP="00132D58">
      <w:pPr>
        <w:pStyle w:val="Default"/>
        <w:rPr>
          <w:b/>
        </w:rPr>
      </w:pPr>
      <w:r>
        <w:t>*Based off of actual usage</w:t>
      </w:r>
    </w:p>
    <w:p w:rsidR="00132D58" w:rsidRDefault="00132D58" w:rsidP="00132D58">
      <w:pPr>
        <w:jc w:val="center"/>
      </w:pPr>
    </w:p>
    <w:tbl>
      <w:tblPr>
        <w:tblW w:w="8889" w:type="dxa"/>
        <w:tblInd w:w="108" w:type="dxa"/>
        <w:tblLook w:val="04A0" w:firstRow="1" w:lastRow="0" w:firstColumn="1" w:lastColumn="0" w:noHBand="0" w:noVBand="1"/>
      </w:tblPr>
      <w:tblGrid>
        <w:gridCol w:w="5805"/>
        <w:gridCol w:w="341"/>
        <w:gridCol w:w="2743"/>
      </w:tblGrid>
      <w:tr w:rsidR="00C73046" w:rsidTr="00815F63">
        <w:trPr>
          <w:trHeight w:val="300"/>
        </w:trPr>
        <w:tc>
          <w:tcPr>
            <w:tcW w:w="8889" w:type="dxa"/>
            <w:gridSpan w:val="3"/>
            <w:noWrap/>
            <w:vAlign w:val="bottom"/>
            <w:hideMark/>
          </w:tcPr>
          <w:p w:rsidR="00C73046" w:rsidRDefault="00C73046" w:rsidP="00815F63">
            <w:pPr>
              <w:autoSpaceDE/>
              <w:rPr>
                <w:color w:val="000000"/>
                <w:sz w:val="32"/>
              </w:rPr>
            </w:pPr>
            <w:r>
              <w:rPr>
                <w:b/>
                <w:color w:val="000000"/>
                <w:sz w:val="32"/>
                <w:u w:val="single"/>
              </w:rPr>
              <w:t xml:space="preserve">Three Phase Average Retail Rate </w:t>
            </w:r>
          </w:p>
        </w:tc>
      </w:tr>
      <w:tr w:rsidR="00C73046" w:rsidTr="00815F63">
        <w:trPr>
          <w:trHeight w:val="300"/>
        </w:trPr>
        <w:tc>
          <w:tcPr>
            <w:tcW w:w="5805" w:type="dxa"/>
            <w:noWrap/>
            <w:vAlign w:val="bottom"/>
            <w:hideMark/>
          </w:tcPr>
          <w:p w:rsidR="00C73046" w:rsidRDefault="00C73046" w:rsidP="00815F63">
            <w:pPr>
              <w:autoSpaceDE/>
              <w:ind w:firstLineChars="100" w:firstLine="220"/>
              <w:rPr>
                <w:color w:val="000000"/>
              </w:rPr>
            </w:pPr>
            <w:r>
              <w:rPr>
                <w:color w:val="000000"/>
              </w:rPr>
              <w:t>kWh’s Sold</w:t>
            </w:r>
          </w:p>
        </w:tc>
        <w:tc>
          <w:tcPr>
            <w:tcW w:w="341" w:type="dxa"/>
            <w:noWrap/>
            <w:vAlign w:val="bottom"/>
            <w:hideMark/>
          </w:tcPr>
          <w:p w:rsidR="00C73046" w:rsidRDefault="00C73046" w:rsidP="00815F63">
            <w:pPr>
              <w:rPr>
                <w:color w:val="000000"/>
              </w:rPr>
            </w:pPr>
          </w:p>
        </w:tc>
        <w:tc>
          <w:tcPr>
            <w:tcW w:w="2743" w:type="dxa"/>
            <w:noWrap/>
            <w:vAlign w:val="bottom"/>
            <w:hideMark/>
          </w:tcPr>
          <w:p w:rsidR="00C73046" w:rsidRDefault="00C73046" w:rsidP="00C73046">
            <w:pPr>
              <w:autoSpaceDE/>
              <w:rPr>
                <w:color w:val="000000"/>
              </w:rPr>
            </w:pPr>
            <w:r>
              <w:rPr>
                <w:color w:val="000000"/>
              </w:rPr>
              <w:t xml:space="preserve">                         21,539,291</w:t>
            </w:r>
          </w:p>
        </w:tc>
      </w:tr>
      <w:tr w:rsidR="00C73046" w:rsidTr="00815F63">
        <w:trPr>
          <w:trHeight w:val="300"/>
        </w:trPr>
        <w:tc>
          <w:tcPr>
            <w:tcW w:w="5805" w:type="dxa"/>
            <w:noWrap/>
            <w:vAlign w:val="bottom"/>
            <w:hideMark/>
          </w:tcPr>
          <w:p w:rsidR="00C73046" w:rsidRDefault="00C73046" w:rsidP="00815F63">
            <w:pPr>
              <w:autoSpaceDE/>
              <w:ind w:firstLineChars="100" w:firstLine="220"/>
              <w:rPr>
                <w:color w:val="000000"/>
              </w:rPr>
            </w:pPr>
            <w:r>
              <w:rPr>
                <w:color w:val="000000"/>
              </w:rPr>
              <w:t>Availability Charges</w:t>
            </w:r>
          </w:p>
        </w:tc>
        <w:tc>
          <w:tcPr>
            <w:tcW w:w="341" w:type="dxa"/>
            <w:noWrap/>
            <w:vAlign w:val="bottom"/>
            <w:hideMark/>
          </w:tcPr>
          <w:p w:rsidR="00C73046" w:rsidRDefault="00C73046" w:rsidP="00815F63">
            <w:pPr>
              <w:rPr>
                <w:color w:val="000000"/>
              </w:rPr>
            </w:pPr>
          </w:p>
        </w:tc>
        <w:tc>
          <w:tcPr>
            <w:tcW w:w="2743" w:type="dxa"/>
            <w:tcBorders>
              <w:top w:val="nil"/>
              <w:left w:val="nil"/>
              <w:bottom w:val="single" w:sz="4" w:space="0" w:color="auto"/>
              <w:right w:val="nil"/>
            </w:tcBorders>
            <w:noWrap/>
            <w:vAlign w:val="bottom"/>
            <w:hideMark/>
          </w:tcPr>
          <w:p w:rsidR="00C73046" w:rsidRDefault="00C73046" w:rsidP="00C73046">
            <w:pPr>
              <w:autoSpaceDE/>
              <w:rPr>
                <w:color w:val="000000"/>
              </w:rPr>
            </w:pPr>
            <w:r>
              <w:rPr>
                <w:color w:val="000000"/>
              </w:rPr>
              <w:t xml:space="preserve"> $                             62,328</w:t>
            </w:r>
          </w:p>
        </w:tc>
      </w:tr>
      <w:tr w:rsidR="00C73046" w:rsidTr="00815F63">
        <w:trPr>
          <w:trHeight w:val="300"/>
        </w:trPr>
        <w:tc>
          <w:tcPr>
            <w:tcW w:w="5805" w:type="dxa"/>
            <w:noWrap/>
            <w:vAlign w:val="bottom"/>
            <w:hideMark/>
          </w:tcPr>
          <w:p w:rsidR="00C73046" w:rsidRDefault="00C73046" w:rsidP="00815F63">
            <w:pPr>
              <w:autoSpaceDE/>
              <w:ind w:firstLineChars="100" w:firstLine="220"/>
              <w:rPr>
                <w:color w:val="000000"/>
              </w:rPr>
            </w:pPr>
            <w:r>
              <w:rPr>
                <w:color w:val="000000"/>
              </w:rPr>
              <w:t>Total Charges</w:t>
            </w:r>
          </w:p>
        </w:tc>
        <w:tc>
          <w:tcPr>
            <w:tcW w:w="341" w:type="dxa"/>
            <w:noWrap/>
            <w:vAlign w:val="bottom"/>
            <w:hideMark/>
          </w:tcPr>
          <w:p w:rsidR="00C73046" w:rsidRDefault="00C73046" w:rsidP="00815F63">
            <w:pPr>
              <w:rPr>
                <w:color w:val="000000"/>
              </w:rPr>
            </w:pPr>
          </w:p>
        </w:tc>
        <w:tc>
          <w:tcPr>
            <w:tcW w:w="2743" w:type="dxa"/>
            <w:noWrap/>
            <w:vAlign w:val="bottom"/>
            <w:hideMark/>
          </w:tcPr>
          <w:p w:rsidR="00C73046" w:rsidRDefault="00C73046" w:rsidP="00C73046">
            <w:pPr>
              <w:autoSpaceDE/>
              <w:rPr>
                <w:color w:val="000000"/>
              </w:rPr>
            </w:pPr>
            <w:r>
              <w:rPr>
                <w:color w:val="000000"/>
              </w:rPr>
              <w:t xml:space="preserve"> $                        1,989,640</w:t>
            </w:r>
          </w:p>
        </w:tc>
      </w:tr>
      <w:tr w:rsidR="00C73046" w:rsidTr="00815F63">
        <w:trPr>
          <w:trHeight w:val="300"/>
        </w:trPr>
        <w:tc>
          <w:tcPr>
            <w:tcW w:w="5805" w:type="dxa"/>
            <w:noWrap/>
            <w:vAlign w:val="bottom"/>
            <w:hideMark/>
          </w:tcPr>
          <w:p w:rsidR="00C73046" w:rsidRDefault="00C73046" w:rsidP="00815F63">
            <w:pPr>
              <w:autoSpaceDE/>
              <w:ind w:firstLineChars="100" w:firstLine="220"/>
              <w:rPr>
                <w:color w:val="000000"/>
              </w:rPr>
            </w:pPr>
            <w:r>
              <w:rPr>
                <w:color w:val="000000"/>
              </w:rPr>
              <w:t>Energy Charges</w:t>
            </w:r>
          </w:p>
        </w:tc>
        <w:tc>
          <w:tcPr>
            <w:tcW w:w="341" w:type="dxa"/>
            <w:noWrap/>
            <w:vAlign w:val="bottom"/>
            <w:hideMark/>
          </w:tcPr>
          <w:p w:rsidR="00C73046" w:rsidRDefault="00C73046" w:rsidP="00815F63">
            <w:pPr>
              <w:rPr>
                <w:color w:val="000000"/>
              </w:rPr>
            </w:pPr>
          </w:p>
        </w:tc>
        <w:tc>
          <w:tcPr>
            <w:tcW w:w="2743" w:type="dxa"/>
            <w:tcBorders>
              <w:top w:val="nil"/>
              <w:left w:val="nil"/>
              <w:bottom w:val="single" w:sz="4" w:space="0" w:color="auto"/>
              <w:right w:val="nil"/>
            </w:tcBorders>
            <w:noWrap/>
            <w:vAlign w:val="bottom"/>
            <w:hideMark/>
          </w:tcPr>
          <w:p w:rsidR="00C73046" w:rsidRDefault="00C73046" w:rsidP="00C73046">
            <w:pPr>
              <w:autoSpaceDE/>
              <w:rPr>
                <w:color w:val="000000"/>
              </w:rPr>
            </w:pPr>
            <w:r>
              <w:rPr>
                <w:color w:val="000000"/>
              </w:rPr>
              <w:t xml:space="preserve"> $                        1,927,312</w:t>
            </w:r>
          </w:p>
        </w:tc>
      </w:tr>
      <w:tr w:rsidR="00C73046" w:rsidTr="00815F63">
        <w:trPr>
          <w:trHeight w:val="300"/>
        </w:trPr>
        <w:tc>
          <w:tcPr>
            <w:tcW w:w="5805" w:type="dxa"/>
            <w:noWrap/>
            <w:vAlign w:val="bottom"/>
            <w:hideMark/>
          </w:tcPr>
          <w:p w:rsidR="00C73046" w:rsidRDefault="00C73046" w:rsidP="00815F63">
            <w:pPr>
              <w:autoSpaceDE/>
              <w:ind w:firstLineChars="100" w:firstLine="220"/>
              <w:rPr>
                <w:color w:val="000000"/>
              </w:rPr>
            </w:pPr>
            <w:r>
              <w:rPr>
                <w:color w:val="000000"/>
              </w:rPr>
              <w:t>Average Retail Rate/kWh</w:t>
            </w:r>
          </w:p>
        </w:tc>
        <w:tc>
          <w:tcPr>
            <w:tcW w:w="341" w:type="dxa"/>
            <w:noWrap/>
            <w:vAlign w:val="bottom"/>
            <w:hideMark/>
          </w:tcPr>
          <w:p w:rsidR="00C73046" w:rsidRDefault="00C73046" w:rsidP="00815F63">
            <w:pPr>
              <w:rPr>
                <w:color w:val="000000"/>
              </w:rPr>
            </w:pPr>
          </w:p>
        </w:tc>
        <w:tc>
          <w:tcPr>
            <w:tcW w:w="2743" w:type="dxa"/>
            <w:noWrap/>
            <w:vAlign w:val="bottom"/>
            <w:hideMark/>
          </w:tcPr>
          <w:p w:rsidR="00C73046" w:rsidRDefault="00C73046" w:rsidP="00C73046">
            <w:pPr>
              <w:autoSpaceDE/>
              <w:rPr>
                <w:color w:val="000000"/>
              </w:rPr>
            </w:pPr>
            <w:r>
              <w:rPr>
                <w:color w:val="000000"/>
              </w:rPr>
              <w:t xml:space="preserve"> $                           0.08948</w:t>
            </w:r>
          </w:p>
        </w:tc>
      </w:tr>
    </w:tbl>
    <w:p w:rsidR="00C73046" w:rsidRDefault="00C73046" w:rsidP="00C73046"/>
    <w:p w:rsidR="00C73046" w:rsidRDefault="00C73046" w:rsidP="00C73046">
      <w:pPr>
        <w:pStyle w:val="Default"/>
      </w:pPr>
      <w:r>
        <w:rPr>
          <w:b/>
        </w:rPr>
        <w:t xml:space="preserve">Average Retail Rate: </w:t>
      </w:r>
      <w:r>
        <w:t>$0.08948 per kWh (Three Phase)</w:t>
      </w:r>
    </w:p>
    <w:p w:rsidR="00C73046" w:rsidRDefault="00C73046" w:rsidP="00C73046">
      <w:pPr>
        <w:pStyle w:val="Default"/>
      </w:pPr>
    </w:p>
    <w:p w:rsidR="00C73046" w:rsidRDefault="00C73046" w:rsidP="00C73046">
      <w:pPr>
        <w:pStyle w:val="Default"/>
        <w:rPr>
          <w:b/>
        </w:rPr>
      </w:pPr>
      <w:r>
        <w:t>*Based off of actual usage</w:t>
      </w:r>
    </w:p>
    <w:p w:rsidR="00132D58" w:rsidRDefault="00132D58" w:rsidP="00132D58">
      <w:pPr>
        <w:jc w:val="center"/>
      </w:pPr>
    </w:p>
    <w:p w:rsidR="00C73046" w:rsidRDefault="00C73046" w:rsidP="00132D58">
      <w:pPr>
        <w:jc w:val="center"/>
      </w:pPr>
    </w:p>
    <w:tbl>
      <w:tblPr>
        <w:tblW w:w="8696" w:type="dxa"/>
        <w:tblInd w:w="108" w:type="dxa"/>
        <w:tblLook w:val="04A0" w:firstRow="1" w:lastRow="0" w:firstColumn="1" w:lastColumn="0" w:noHBand="0" w:noVBand="1"/>
      </w:tblPr>
      <w:tblGrid>
        <w:gridCol w:w="5805"/>
        <w:gridCol w:w="341"/>
        <w:gridCol w:w="2743"/>
      </w:tblGrid>
      <w:tr w:rsidR="00132D58" w:rsidTr="00132D58">
        <w:trPr>
          <w:trHeight w:val="300"/>
        </w:trPr>
        <w:tc>
          <w:tcPr>
            <w:tcW w:w="8696" w:type="dxa"/>
            <w:gridSpan w:val="3"/>
            <w:noWrap/>
            <w:vAlign w:val="bottom"/>
            <w:hideMark/>
          </w:tcPr>
          <w:p w:rsidR="00132D58" w:rsidRDefault="00683072">
            <w:pPr>
              <w:autoSpaceDE/>
              <w:rPr>
                <w:b/>
                <w:color w:val="000000"/>
                <w:sz w:val="32"/>
                <w:szCs w:val="32"/>
                <w:u w:val="single"/>
              </w:rPr>
            </w:pPr>
            <w:r>
              <w:rPr>
                <w:b/>
                <w:color w:val="000000"/>
                <w:sz w:val="32"/>
                <w:szCs w:val="32"/>
                <w:u w:val="single"/>
              </w:rPr>
              <w:t xml:space="preserve">Single Phase </w:t>
            </w:r>
            <w:r w:rsidR="00132D58">
              <w:rPr>
                <w:b/>
                <w:color w:val="000000"/>
                <w:sz w:val="32"/>
                <w:szCs w:val="32"/>
                <w:u w:val="single"/>
              </w:rPr>
              <w:t>Distribution Facility Charge</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Annual Revenue Requirements</w:t>
            </w:r>
          </w:p>
        </w:tc>
        <w:tc>
          <w:tcPr>
            <w:tcW w:w="148" w:type="dxa"/>
            <w:noWrap/>
            <w:vAlign w:val="bottom"/>
            <w:hideMark/>
          </w:tcPr>
          <w:p w:rsidR="00132D58" w:rsidRDefault="00132D58">
            <w:pPr>
              <w:rPr>
                <w:color w:val="000000"/>
              </w:rPr>
            </w:pPr>
          </w:p>
        </w:tc>
        <w:tc>
          <w:tcPr>
            <w:tcW w:w="2743" w:type="dxa"/>
            <w:noWrap/>
            <w:vAlign w:val="bottom"/>
            <w:hideMark/>
          </w:tcPr>
          <w:p w:rsidR="00132D58" w:rsidRDefault="00132D58" w:rsidP="00490496">
            <w:pPr>
              <w:autoSpaceDE/>
              <w:rPr>
                <w:color w:val="000000"/>
              </w:rPr>
            </w:pPr>
            <w:r>
              <w:rPr>
                <w:color w:val="000000"/>
              </w:rPr>
              <w:t xml:space="preserve"> $                     12,</w:t>
            </w:r>
            <w:r w:rsidR="00490496">
              <w:rPr>
                <w:color w:val="000000"/>
              </w:rPr>
              <w:t>427,050</w:t>
            </w:r>
            <w:r>
              <w:rPr>
                <w:color w:val="000000"/>
              </w:rPr>
              <w:t xml:space="preserv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Less: Annual Purchased Power Expense</w:t>
            </w:r>
          </w:p>
        </w:tc>
        <w:tc>
          <w:tcPr>
            <w:tcW w:w="148" w:type="dxa"/>
            <w:noWrap/>
            <w:vAlign w:val="bottom"/>
            <w:hideMark/>
          </w:tcPr>
          <w:p w:rsidR="00132D58" w:rsidRDefault="00132D58">
            <w:pPr>
              <w:rPr>
                <w:color w:val="000000"/>
              </w:rPr>
            </w:pPr>
          </w:p>
        </w:tc>
        <w:tc>
          <w:tcPr>
            <w:tcW w:w="2743" w:type="dxa"/>
            <w:tcBorders>
              <w:top w:val="nil"/>
              <w:left w:val="nil"/>
              <w:bottom w:val="single" w:sz="4" w:space="0" w:color="auto"/>
              <w:right w:val="nil"/>
            </w:tcBorders>
            <w:noWrap/>
            <w:vAlign w:val="bottom"/>
            <w:hideMark/>
          </w:tcPr>
          <w:p w:rsidR="00132D58" w:rsidRDefault="00132D58" w:rsidP="00490496">
            <w:pPr>
              <w:autoSpaceDE/>
              <w:rPr>
                <w:color w:val="000000"/>
              </w:rPr>
            </w:pPr>
            <w:r>
              <w:rPr>
                <w:color w:val="000000"/>
              </w:rPr>
              <w:t xml:space="preserve"> $                       6,</w:t>
            </w:r>
            <w:r w:rsidR="00490496">
              <w:rPr>
                <w:color w:val="000000"/>
              </w:rPr>
              <w:t>560,374</w:t>
            </w:r>
            <w:r>
              <w:rPr>
                <w:color w:val="000000"/>
              </w:rPr>
              <w:t xml:space="preserv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Annual Distribution Fixed Costs</w:t>
            </w:r>
          </w:p>
        </w:tc>
        <w:tc>
          <w:tcPr>
            <w:tcW w:w="148" w:type="dxa"/>
            <w:noWrap/>
            <w:vAlign w:val="bottom"/>
            <w:hideMark/>
          </w:tcPr>
          <w:p w:rsidR="00132D58" w:rsidRDefault="00132D58">
            <w:pPr>
              <w:rPr>
                <w:color w:val="000000"/>
              </w:rPr>
            </w:pPr>
          </w:p>
        </w:tc>
        <w:tc>
          <w:tcPr>
            <w:tcW w:w="2743" w:type="dxa"/>
            <w:noWrap/>
            <w:vAlign w:val="bottom"/>
            <w:hideMark/>
          </w:tcPr>
          <w:p w:rsidR="00132D58" w:rsidRDefault="00132D58" w:rsidP="00490496">
            <w:pPr>
              <w:autoSpaceDE/>
              <w:rPr>
                <w:color w:val="000000"/>
              </w:rPr>
            </w:pPr>
            <w:r>
              <w:rPr>
                <w:color w:val="000000"/>
              </w:rPr>
              <w:t xml:space="preserve"> $                       </w:t>
            </w:r>
            <w:r w:rsidR="00490496">
              <w:rPr>
                <w:color w:val="000000"/>
              </w:rPr>
              <w:t>5,866,676</w:t>
            </w:r>
            <w:r>
              <w:rPr>
                <w:color w:val="000000"/>
              </w:rPr>
              <w:t xml:space="preserv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Less: Annual Customer Charge Revenue</w:t>
            </w:r>
          </w:p>
        </w:tc>
        <w:tc>
          <w:tcPr>
            <w:tcW w:w="148" w:type="dxa"/>
            <w:noWrap/>
            <w:vAlign w:val="bottom"/>
            <w:hideMark/>
          </w:tcPr>
          <w:p w:rsidR="00132D58" w:rsidRDefault="00132D58">
            <w:pPr>
              <w:rPr>
                <w:color w:val="000000"/>
              </w:rPr>
            </w:pPr>
          </w:p>
        </w:tc>
        <w:tc>
          <w:tcPr>
            <w:tcW w:w="2743" w:type="dxa"/>
            <w:tcBorders>
              <w:top w:val="nil"/>
              <w:left w:val="nil"/>
              <w:bottom w:val="single" w:sz="4" w:space="0" w:color="auto"/>
              <w:right w:val="nil"/>
            </w:tcBorders>
            <w:noWrap/>
            <w:vAlign w:val="bottom"/>
            <w:hideMark/>
          </w:tcPr>
          <w:p w:rsidR="00132D58" w:rsidRDefault="00132D58">
            <w:pPr>
              <w:autoSpaceDE/>
              <w:rPr>
                <w:color w:val="000000"/>
              </w:rPr>
            </w:pPr>
            <w:r>
              <w:rPr>
                <w:color w:val="000000"/>
              </w:rPr>
              <w:t xml:space="preserve"> $                       1,197,480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Distribution Fixed Costs Recovered in Energy Rate</w:t>
            </w:r>
          </w:p>
        </w:tc>
        <w:tc>
          <w:tcPr>
            <w:tcW w:w="148" w:type="dxa"/>
            <w:noWrap/>
            <w:vAlign w:val="bottom"/>
            <w:hideMark/>
          </w:tcPr>
          <w:p w:rsidR="00132D58" w:rsidRDefault="00132D58">
            <w:pPr>
              <w:rPr>
                <w:color w:val="000000"/>
              </w:rPr>
            </w:pPr>
          </w:p>
        </w:tc>
        <w:tc>
          <w:tcPr>
            <w:tcW w:w="2743" w:type="dxa"/>
            <w:noWrap/>
            <w:vAlign w:val="bottom"/>
            <w:hideMark/>
          </w:tcPr>
          <w:p w:rsidR="00132D58" w:rsidRDefault="00132D58">
            <w:pPr>
              <w:autoSpaceDE/>
              <w:rPr>
                <w:color w:val="000000"/>
              </w:rPr>
            </w:pPr>
            <w:r>
              <w:rPr>
                <w:color w:val="000000"/>
              </w:rPr>
              <w:t xml:space="preserve"> $</w:t>
            </w:r>
            <w:r w:rsidR="00490496">
              <w:rPr>
                <w:color w:val="000000"/>
              </w:rPr>
              <w:t xml:space="preserve">                       4,669,196</w:t>
            </w:r>
            <w:r>
              <w:rPr>
                <w:color w:val="000000"/>
              </w:rPr>
              <w:t xml:space="preserve"> </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Annual Energy Sales (kWh)</w:t>
            </w:r>
          </w:p>
        </w:tc>
        <w:tc>
          <w:tcPr>
            <w:tcW w:w="148" w:type="dxa"/>
            <w:noWrap/>
            <w:vAlign w:val="bottom"/>
            <w:hideMark/>
          </w:tcPr>
          <w:p w:rsidR="00132D58" w:rsidRDefault="00132D58">
            <w:pPr>
              <w:autoSpaceDE/>
              <w:jc w:val="right"/>
              <w:rPr>
                <w:color w:val="000000"/>
              </w:rPr>
            </w:pPr>
            <w:r>
              <w:rPr>
                <w:color w:val="000000"/>
              </w:rPr>
              <w:t>÷</w:t>
            </w:r>
          </w:p>
        </w:tc>
        <w:tc>
          <w:tcPr>
            <w:tcW w:w="2743" w:type="dxa"/>
            <w:tcBorders>
              <w:top w:val="nil"/>
              <w:left w:val="nil"/>
              <w:bottom w:val="single" w:sz="4" w:space="0" w:color="auto"/>
              <w:right w:val="nil"/>
            </w:tcBorders>
            <w:noWrap/>
            <w:vAlign w:val="bottom"/>
            <w:hideMark/>
          </w:tcPr>
          <w:p w:rsidR="00132D58" w:rsidRDefault="00132D58" w:rsidP="00490496">
            <w:pPr>
              <w:autoSpaceDE/>
              <w:rPr>
                <w:color w:val="000000"/>
              </w:rPr>
            </w:pPr>
            <w:r>
              <w:rPr>
                <w:color w:val="000000"/>
              </w:rPr>
              <w:t xml:space="preserve">                      12</w:t>
            </w:r>
            <w:r w:rsidR="00490496">
              <w:rPr>
                <w:color w:val="000000"/>
              </w:rPr>
              <w:t>0,469,369</w:t>
            </w:r>
          </w:p>
        </w:tc>
      </w:tr>
      <w:tr w:rsidR="00132D58" w:rsidTr="00132D58">
        <w:trPr>
          <w:trHeight w:val="300"/>
        </w:trPr>
        <w:tc>
          <w:tcPr>
            <w:tcW w:w="5805" w:type="dxa"/>
            <w:noWrap/>
            <w:vAlign w:val="bottom"/>
            <w:hideMark/>
          </w:tcPr>
          <w:p w:rsidR="00132D58" w:rsidRDefault="00132D58">
            <w:pPr>
              <w:autoSpaceDE/>
              <w:ind w:firstLineChars="100" w:firstLine="220"/>
              <w:rPr>
                <w:color w:val="000000"/>
              </w:rPr>
            </w:pPr>
            <w:r>
              <w:rPr>
                <w:color w:val="000000"/>
              </w:rPr>
              <w:t>Distribution Fixed Costs Recovered in Energy Rate</w:t>
            </w:r>
          </w:p>
        </w:tc>
        <w:tc>
          <w:tcPr>
            <w:tcW w:w="148" w:type="dxa"/>
            <w:noWrap/>
            <w:vAlign w:val="bottom"/>
            <w:hideMark/>
          </w:tcPr>
          <w:p w:rsidR="00132D58" w:rsidRDefault="00132D58">
            <w:pPr>
              <w:autoSpaceDE/>
              <w:jc w:val="right"/>
              <w:rPr>
                <w:color w:val="000000"/>
              </w:rPr>
            </w:pPr>
            <w:r>
              <w:rPr>
                <w:color w:val="000000"/>
              </w:rPr>
              <w:t>=</w:t>
            </w:r>
          </w:p>
        </w:tc>
        <w:tc>
          <w:tcPr>
            <w:tcW w:w="2743" w:type="dxa"/>
            <w:noWrap/>
            <w:vAlign w:val="bottom"/>
            <w:hideMark/>
          </w:tcPr>
          <w:p w:rsidR="00132D58" w:rsidRDefault="00132D58">
            <w:pPr>
              <w:autoSpaceDE/>
              <w:rPr>
                <w:color w:val="000000"/>
              </w:rPr>
            </w:pPr>
            <w:r>
              <w:rPr>
                <w:color w:val="000000"/>
              </w:rPr>
              <w:t xml:space="preserve"> $ </w:t>
            </w:r>
            <w:r w:rsidR="00490496">
              <w:rPr>
                <w:color w:val="000000"/>
              </w:rPr>
              <w:t xml:space="preserve">                          0.0388</w:t>
            </w:r>
            <w:r>
              <w:rPr>
                <w:color w:val="000000"/>
              </w:rPr>
              <w:t xml:space="preserve"> </w:t>
            </w:r>
          </w:p>
        </w:tc>
      </w:tr>
    </w:tbl>
    <w:p w:rsidR="00132D58" w:rsidRDefault="00132D58" w:rsidP="00132D58">
      <w:pPr>
        <w:jc w:val="center"/>
      </w:pPr>
    </w:p>
    <w:p w:rsidR="00132D58" w:rsidRDefault="00132D58" w:rsidP="00132D58">
      <w:pPr>
        <w:jc w:val="center"/>
      </w:pPr>
    </w:p>
    <w:p w:rsidR="00132D58" w:rsidRDefault="00132D58" w:rsidP="00132D58">
      <w:pPr>
        <w:jc w:val="center"/>
      </w:pPr>
    </w:p>
    <w:p w:rsidR="00132D58" w:rsidRDefault="00132D58" w:rsidP="00132D58">
      <w:pPr>
        <w:pStyle w:val="Default"/>
        <w:rPr>
          <w:b/>
        </w:rPr>
      </w:pPr>
      <w:r>
        <w:rPr>
          <w:b/>
        </w:rPr>
        <w:t xml:space="preserve">Distribution Facility Charge: </w:t>
      </w:r>
      <w:r w:rsidR="00490496">
        <w:t>$0.0388</w:t>
      </w:r>
      <w:r>
        <w:t xml:space="preserve"> per kWh</w:t>
      </w:r>
      <w:r w:rsidR="00490496">
        <w:t xml:space="preserve"> (Single Phase)</w:t>
      </w:r>
    </w:p>
    <w:p w:rsidR="00132D58" w:rsidRDefault="00132D58" w:rsidP="00132D58">
      <w:pPr>
        <w:pStyle w:val="Default"/>
        <w:ind w:left="630"/>
      </w:pPr>
    </w:p>
    <w:p w:rsidR="00132D58" w:rsidRDefault="00132D58" w:rsidP="00132D58">
      <w:pPr>
        <w:pStyle w:val="Default"/>
      </w:pPr>
      <w:r>
        <w:t xml:space="preserve">*The Distribution Facility Charge is the portion embedded in the Energy Charge that is specific to the Cooperative’s fixed costs.  This is based off of the most recent Cost of Service Study.  </w:t>
      </w:r>
    </w:p>
    <w:p w:rsidR="00F837B8" w:rsidRDefault="00F837B8" w:rsidP="00C73046"/>
    <w:p w:rsidR="000554A5" w:rsidRDefault="000554A5" w:rsidP="004334F2">
      <w:pPr>
        <w:jc w:val="center"/>
        <w:rPr>
          <w:b/>
          <w:bCs/>
          <w:sz w:val="24"/>
          <w:szCs w:val="24"/>
          <w:u w:val="single"/>
        </w:rPr>
      </w:pPr>
    </w:p>
    <w:p w:rsidR="000554A5" w:rsidRDefault="000554A5" w:rsidP="004334F2">
      <w:pPr>
        <w:jc w:val="center"/>
        <w:rPr>
          <w:b/>
          <w:bCs/>
          <w:sz w:val="24"/>
          <w:szCs w:val="24"/>
          <w:u w:val="single"/>
        </w:rPr>
      </w:pPr>
    </w:p>
    <w:tbl>
      <w:tblPr>
        <w:tblW w:w="8696" w:type="dxa"/>
        <w:tblInd w:w="108" w:type="dxa"/>
        <w:tblLook w:val="04A0" w:firstRow="1" w:lastRow="0" w:firstColumn="1" w:lastColumn="0" w:noHBand="0" w:noVBand="1"/>
      </w:tblPr>
      <w:tblGrid>
        <w:gridCol w:w="5805"/>
        <w:gridCol w:w="341"/>
        <w:gridCol w:w="2743"/>
      </w:tblGrid>
      <w:tr w:rsidR="00683072" w:rsidTr="00F5606D">
        <w:trPr>
          <w:trHeight w:val="300"/>
        </w:trPr>
        <w:tc>
          <w:tcPr>
            <w:tcW w:w="8696" w:type="dxa"/>
            <w:gridSpan w:val="3"/>
            <w:noWrap/>
            <w:vAlign w:val="bottom"/>
            <w:hideMark/>
          </w:tcPr>
          <w:p w:rsidR="00683072" w:rsidRDefault="00683072" w:rsidP="00F5606D">
            <w:pPr>
              <w:autoSpaceDE/>
              <w:rPr>
                <w:b/>
                <w:color w:val="000000"/>
                <w:sz w:val="32"/>
                <w:szCs w:val="32"/>
                <w:u w:val="single"/>
              </w:rPr>
            </w:pPr>
            <w:r>
              <w:rPr>
                <w:b/>
                <w:color w:val="000000"/>
                <w:sz w:val="32"/>
                <w:szCs w:val="32"/>
                <w:u w:val="single"/>
              </w:rPr>
              <w:lastRenderedPageBreak/>
              <w:t>Three</w:t>
            </w:r>
            <w:r>
              <w:rPr>
                <w:b/>
                <w:color w:val="000000"/>
                <w:sz w:val="32"/>
                <w:szCs w:val="32"/>
                <w:u w:val="single"/>
              </w:rPr>
              <w:t xml:space="preserve"> Phase Distribution Facility Charge</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Annual Revenue Requirements</w:t>
            </w:r>
          </w:p>
        </w:tc>
        <w:tc>
          <w:tcPr>
            <w:tcW w:w="148" w:type="dxa"/>
            <w:noWrap/>
            <w:vAlign w:val="bottom"/>
            <w:hideMark/>
          </w:tcPr>
          <w:p w:rsidR="00683072" w:rsidRDefault="00683072" w:rsidP="00F5606D">
            <w:pPr>
              <w:rPr>
                <w:color w:val="000000"/>
              </w:rPr>
            </w:pPr>
          </w:p>
        </w:tc>
        <w:tc>
          <w:tcPr>
            <w:tcW w:w="2743" w:type="dxa"/>
            <w:noWrap/>
            <w:vAlign w:val="bottom"/>
            <w:hideMark/>
          </w:tcPr>
          <w:p w:rsidR="00683072" w:rsidRDefault="00683072" w:rsidP="00F5606D">
            <w:pPr>
              <w:autoSpaceDE/>
              <w:rPr>
                <w:color w:val="000000"/>
              </w:rPr>
            </w:pPr>
            <w:r>
              <w:rPr>
                <w:color w:val="000000"/>
              </w:rPr>
              <w:t xml:space="preserve"> $                       </w:t>
            </w:r>
            <w:r>
              <w:rPr>
                <w:color w:val="000000"/>
              </w:rPr>
              <w:t>2,</w:t>
            </w:r>
            <w:r>
              <w:rPr>
                <w:color w:val="000000"/>
              </w:rPr>
              <w:t>035,575</w:t>
            </w:r>
            <w:r>
              <w:rPr>
                <w:color w:val="000000"/>
              </w:rPr>
              <w:t xml:space="preserve"> </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Less: Annual Purchased Power Expense</w:t>
            </w:r>
          </w:p>
        </w:tc>
        <w:tc>
          <w:tcPr>
            <w:tcW w:w="148" w:type="dxa"/>
            <w:noWrap/>
            <w:vAlign w:val="bottom"/>
            <w:hideMark/>
          </w:tcPr>
          <w:p w:rsidR="00683072" w:rsidRDefault="00683072" w:rsidP="00F5606D">
            <w:pPr>
              <w:rPr>
                <w:color w:val="000000"/>
              </w:rPr>
            </w:pPr>
          </w:p>
        </w:tc>
        <w:tc>
          <w:tcPr>
            <w:tcW w:w="2743" w:type="dxa"/>
            <w:tcBorders>
              <w:top w:val="nil"/>
              <w:left w:val="nil"/>
              <w:bottom w:val="single" w:sz="4" w:space="0" w:color="auto"/>
              <w:right w:val="nil"/>
            </w:tcBorders>
            <w:noWrap/>
            <w:vAlign w:val="bottom"/>
            <w:hideMark/>
          </w:tcPr>
          <w:p w:rsidR="00683072" w:rsidRDefault="00683072" w:rsidP="00683072">
            <w:pPr>
              <w:autoSpaceDE/>
              <w:rPr>
                <w:color w:val="000000"/>
              </w:rPr>
            </w:pPr>
            <w:r>
              <w:rPr>
                <w:color w:val="000000"/>
              </w:rPr>
              <w:t xml:space="preserve"> $                       </w:t>
            </w:r>
            <w:r>
              <w:rPr>
                <w:color w:val="000000"/>
              </w:rPr>
              <w:t>1,296,204</w:t>
            </w:r>
            <w:r>
              <w:rPr>
                <w:color w:val="000000"/>
              </w:rPr>
              <w:t xml:space="preserve"> </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Annual Distribution Fixed Costs</w:t>
            </w:r>
          </w:p>
        </w:tc>
        <w:tc>
          <w:tcPr>
            <w:tcW w:w="148" w:type="dxa"/>
            <w:noWrap/>
            <w:vAlign w:val="bottom"/>
            <w:hideMark/>
          </w:tcPr>
          <w:p w:rsidR="00683072" w:rsidRDefault="00683072" w:rsidP="00F5606D">
            <w:pPr>
              <w:rPr>
                <w:color w:val="000000"/>
              </w:rPr>
            </w:pPr>
          </w:p>
        </w:tc>
        <w:tc>
          <w:tcPr>
            <w:tcW w:w="2743" w:type="dxa"/>
            <w:noWrap/>
            <w:vAlign w:val="bottom"/>
            <w:hideMark/>
          </w:tcPr>
          <w:p w:rsidR="00683072" w:rsidRDefault="00683072" w:rsidP="00683072">
            <w:pPr>
              <w:autoSpaceDE/>
              <w:rPr>
                <w:color w:val="000000"/>
              </w:rPr>
            </w:pPr>
            <w:r>
              <w:rPr>
                <w:color w:val="000000"/>
              </w:rPr>
              <w:t xml:space="preserve"> $                       </w:t>
            </w:r>
            <w:r>
              <w:rPr>
                <w:color w:val="000000"/>
              </w:rPr>
              <w:t xml:space="preserve">   739,371</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Less: Annual Customer Charge Revenue</w:t>
            </w:r>
          </w:p>
        </w:tc>
        <w:tc>
          <w:tcPr>
            <w:tcW w:w="148" w:type="dxa"/>
            <w:noWrap/>
            <w:vAlign w:val="bottom"/>
            <w:hideMark/>
          </w:tcPr>
          <w:p w:rsidR="00683072" w:rsidRDefault="00683072" w:rsidP="00F5606D">
            <w:pPr>
              <w:rPr>
                <w:color w:val="000000"/>
              </w:rPr>
            </w:pPr>
          </w:p>
        </w:tc>
        <w:tc>
          <w:tcPr>
            <w:tcW w:w="2743" w:type="dxa"/>
            <w:tcBorders>
              <w:top w:val="nil"/>
              <w:left w:val="nil"/>
              <w:bottom w:val="single" w:sz="4" w:space="0" w:color="auto"/>
              <w:right w:val="nil"/>
            </w:tcBorders>
            <w:noWrap/>
            <w:vAlign w:val="bottom"/>
            <w:hideMark/>
          </w:tcPr>
          <w:p w:rsidR="00683072" w:rsidRDefault="00683072" w:rsidP="00683072">
            <w:pPr>
              <w:autoSpaceDE/>
              <w:rPr>
                <w:color w:val="000000"/>
              </w:rPr>
            </w:pPr>
            <w:r>
              <w:rPr>
                <w:color w:val="000000"/>
              </w:rPr>
              <w:t xml:space="preserve"> $                       </w:t>
            </w:r>
            <w:r>
              <w:rPr>
                <w:color w:val="000000"/>
              </w:rPr>
              <w:t xml:space="preserve">     61,740</w:t>
            </w:r>
            <w:r>
              <w:rPr>
                <w:color w:val="000000"/>
              </w:rPr>
              <w:t xml:space="preserve"> </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Distribution Fixed Costs Recovered in Energy Rate</w:t>
            </w:r>
          </w:p>
        </w:tc>
        <w:tc>
          <w:tcPr>
            <w:tcW w:w="148" w:type="dxa"/>
            <w:noWrap/>
            <w:vAlign w:val="bottom"/>
            <w:hideMark/>
          </w:tcPr>
          <w:p w:rsidR="00683072" w:rsidRDefault="00683072" w:rsidP="00F5606D">
            <w:pPr>
              <w:rPr>
                <w:color w:val="000000"/>
              </w:rPr>
            </w:pPr>
          </w:p>
        </w:tc>
        <w:tc>
          <w:tcPr>
            <w:tcW w:w="2743" w:type="dxa"/>
            <w:noWrap/>
            <w:vAlign w:val="bottom"/>
            <w:hideMark/>
          </w:tcPr>
          <w:p w:rsidR="00683072" w:rsidRDefault="00683072" w:rsidP="00683072">
            <w:pPr>
              <w:autoSpaceDE/>
              <w:rPr>
                <w:color w:val="000000"/>
              </w:rPr>
            </w:pPr>
            <w:r>
              <w:rPr>
                <w:color w:val="000000"/>
              </w:rPr>
              <w:t xml:space="preserve"> $                       </w:t>
            </w:r>
            <w:r>
              <w:rPr>
                <w:color w:val="000000"/>
              </w:rPr>
              <w:t xml:space="preserve">   677,631</w:t>
            </w:r>
            <w:r>
              <w:rPr>
                <w:color w:val="000000"/>
              </w:rPr>
              <w:t xml:space="preserve"> </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Annual Energy Sales (kWh)</w:t>
            </w:r>
          </w:p>
        </w:tc>
        <w:tc>
          <w:tcPr>
            <w:tcW w:w="148" w:type="dxa"/>
            <w:noWrap/>
            <w:vAlign w:val="bottom"/>
            <w:hideMark/>
          </w:tcPr>
          <w:p w:rsidR="00683072" w:rsidRDefault="00683072" w:rsidP="00F5606D">
            <w:pPr>
              <w:autoSpaceDE/>
              <w:jc w:val="right"/>
              <w:rPr>
                <w:color w:val="000000"/>
              </w:rPr>
            </w:pPr>
            <w:r>
              <w:rPr>
                <w:color w:val="000000"/>
              </w:rPr>
              <w:t>÷</w:t>
            </w:r>
          </w:p>
        </w:tc>
        <w:tc>
          <w:tcPr>
            <w:tcW w:w="2743" w:type="dxa"/>
            <w:tcBorders>
              <w:top w:val="nil"/>
              <w:left w:val="nil"/>
              <w:bottom w:val="single" w:sz="4" w:space="0" w:color="auto"/>
              <w:right w:val="nil"/>
            </w:tcBorders>
            <w:noWrap/>
            <w:vAlign w:val="bottom"/>
            <w:hideMark/>
          </w:tcPr>
          <w:p w:rsidR="00683072" w:rsidRDefault="00683072" w:rsidP="00683072">
            <w:pPr>
              <w:autoSpaceDE/>
              <w:rPr>
                <w:color w:val="000000"/>
              </w:rPr>
            </w:pPr>
            <w:r>
              <w:rPr>
                <w:color w:val="000000"/>
              </w:rPr>
              <w:t xml:space="preserve">                      </w:t>
            </w:r>
            <w:r>
              <w:rPr>
                <w:color w:val="000000"/>
              </w:rPr>
              <w:t xml:space="preserve">  21,156,212</w:t>
            </w:r>
          </w:p>
        </w:tc>
      </w:tr>
      <w:tr w:rsidR="00683072" w:rsidTr="00F5606D">
        <w:trPr>
          <w:trHeight w:val="300"/>
        </w:trPr>
        <w:tc>
          <w:tcPr>
            <w:tcW w:w="5805" w:type="dxa"/>
            <w:noWrap/>
            <w:vAlign w:val="bottom"/>
            <w:hideMark/>
          </w:tcPr>
          <w:p w:rsidR="00683072" w:rsidRDefault="00683072" w:rsidP="00F5606D">
            <w:pPr>
              <w:autoSpaceDE/>
              <w:ind w:firstLineChars="100" w:firstLine="220"/>
              <w:rPr>
                <w:color w:val="000000"/>
              </w:rPr>
            </w:pPr>
            <w:r>
              <w:rPr>
                <w:color w:val="000000"/>
              </w:rPr>
              <w:t>Distribution Fixed Costs Recovered in Energy Rate</w:t>
            </w:r>
          </w:p>
        </w:tc>
        <w:tc>
          <w:tcPr>
            <w:tcW w:w="148" w:type="dxa"/>
            <w:noWrap/>
            <w:vAlign w:val="bottom"/>
            <w:hideMark/>
          </w:tcPr>
          <w:p w:rsidR="00683072" w:rsidRDefault="00683072" w:rsidP="00F5606D">
            <w:pPr>
              <w:autoSpaceDE/>
              <w:jc w:val="right"/>
              <w:rPr>
                <w:color w:val="000000"/>
              </w:rPr>
            </w:pPr>
            <w:r>
              <w:rPr>
                <w:color w:val="000000"/>
              </w:rPr>
              <w:t>=</w:t>
            </w:r>
          </w:p>
        </w:tc>
        <w:tc>
          <w:tcPr>
            <w:tcW w:w="2743" w:type="dxa"/>
            <w:noWrap/>
            <w:vAlign w:val="bottom"/>
            <w:hideMark/>
          </w:tcPr>
          <w:p w:rsidR="00683072" w:rsidRDefault="00683072" w:rsidP="00F5606D">
            <w:pPr>
              <w:autoSpaceDE/>
              <w:rPr>
                <w:color w:val="000000"/>
              </w:rPr>
            </w:pPr>
            <w:r>
              <w:rPr>
                <w:color w:val="000000"/>
              </w:rPr>
              <w:t xml:space="preserve"> $ </w:t>
            </w:r>
            <w:r>
              <w:rPr>
                <w:color w:val="000000"/>
              </w:rPr>
              <w:t xml:space="preserve">                          0.0320</w:t>
            </w:r>
            <w:r>
              <w:rPr>
                <w:color w:val="000000"/>
              </w:rPr>
              <w:t xml:space="preserve"> </w:t>
            </w:r>
          </w:p>
        </w:tc>
      </w:tr>
    </w:tbl>
    <w:p w:rsidR="00683072" w:rsidRDefault="00683072" w:rsidP="00683072">
      <w:pPr>
        <w:jc w:val="center"/>
      </w:pPr>
    </w:p>
    <w:p w:rsidR="00683072" w:rsidRDefault="00683072" w:rsidP="00683072">
      <w:pPr>
        <w:jc w:val="center"/>
      </w:pPr>
    </w:p>
    <w:p w:rsidR="00683072" w:rsidRDefault="00683072" w:rsidP="00683072">
      <w:pPr>
        <w:jc w:val="center"/>
      </w:pPr>
    </w:p>
    <w:p w:rsidR="00683072" w:rsidRDefault="00683072" w:rsidP="00683072">
      <w:pPr>
        <w:pStyle w:val="Default"/>
        <w:rPr>
          <w:b/>
        </w:rPr>
      </w:pPr>
      <w:r>
        <w:rPr>
          <w:b/>
        </w:rPr>
        <w:t xml:space="preserve">Distribution Facility Charge: </w:t>
      </w:r>
      <w:r>
        <w:t>$0.0320</w:t>
      </w:r>
      <w:r>
        <w:t xml:space="preserve"> per kWh</w:t>
      </w:r>
      <w:r>
        <w:t xml:space="preserve"> (Three</w:t>
      </w:r>
      <w:r>
        <w:t xml:space="preserve"> Phase)</w:t>
      </w:r>
    </w:p>
    <w:p w:rsidR="00683072" w:rsidRDefault="00683072" w:rsidP="00683072">
      <w:pPr>
        <w:pStyle w:val="Default"/>
        <w:ind w:left="630"/>
      </w:pPr>
    </w:p>
    <w:p w:rsidR="00683072" w:rsidRDefault="00683072" w:rsidP="00683072">
      <w:pPr>
        <w:pStyle w:val="Default"/>
      </w:pPr>
      <w:r>
        <w:t xml:space="preserve">*The Distribution Facility Charge is the portion embedded in the Energy Charge that is specific to the Cooperative’s fixed costs.  This is based off of the most recent Cost of Service Study.  </w:t>
      </w:r>
    </w:p>
    <w:p w:rsidR="000554A5" w:rsidRDefault="000554A5" w:rsidP="004334F2">
      <w:pPr>
        <w:jc w:val="center"/>
        <w:rPr>
          <w:b/>
          <w:bCs/>
          <w:sz w:val="24"/>
          <w:szCs w:val="24"/>
          <w:u w:val="single"/>
        </w:rPr>
      </w:pPr>
    </w:p>
    <w:p w:rsidR="004334F2" w:rsidRDefault="004334F2" w:rsidP="004334F2">
      <w:pPr>
        <w:jc w:val="center"/>
        <w:rPr>
          <w:b/>
          <w:bCs/>
          <w:sz w:val="24"/>
          <w:szCs w:val="24"/>
          <w:u w:val="single"/>
        </w:rPr>
      </w:pPr>
      <w:r>
        <w:rPr>
          <w:b/>
          <w:bCs/>
          <w:sz w:val="24"/>
          <w:szCs w:val="24"/>
          <w:u w:val="single"/>
        </w:rPr>
        <w:t xml:space="preserve">SCHEDULE </w:t>
      </w:r>
      <w:r w:rsidR="00A37FFE">
        <w:rPr>
          <w:b/>
          <w:bCs/>
          <w:sz w:val="24"/>
          <w:szCs w:val="24"/>
          <w:u w:val="single"/>
        </w:rPr>
        <w:t>3</w:t>
      </w:r>
    </w:p>
    <w:p w:rsidR="000554A5" w:rsidRDefault="000554A5" w:rsidP="004334F2">
      <w:pPr>
        <w:jc w:val="center"/>
        <w:rPr>
          <w:b/>
          <w:bCs/>
          <w:sz w:val="24"/>
          <w:szCs w:val="24"/>
          <w:u w:val="single"/>
        </w:rPr>
      </w:pPr>
    </w:p>
    <w:p w:rsidR="00C2373C" w:rsidRDefault="00C2373C">
      <w:pPr>
        <w:jc w:val="center"/>
      </w:pPr>
    </w:p>
    <w:p w:rsidR="004334F2" w:rsidRDefault="004334F2">
      <w:pPr>
        <w:jc w:val="center"/>
      </w:pPr>
      <w:r>
        <w:t>Interconnection of all Co-Generation and Small Power Production Equipment shall comply</w:t>
      </w:r>
      <w:r w:rsidR="00A37FFE">
        <w:t xml:space="preserve"> with</w:t>
      </w:r>
      <w:r>
        <w:t xml:space="preserve"> all standards</w:t>
      </w:r>
      <w:r w:rsidR="00A37FFE" w:rsidRPr="00A37FFE">
        <w:t xml:space="preserve"> </w:t>
      </w:r>
      <w:r w:rsidR="00A37FFE">
        <w:t>applicable to the installation.</w:t>
      </w:r>
    </w:p>
    <w:p w:rsidR="004334F2" w:rsidRDefault="004334F2">
      <w:pPr>
        <w:jc w:val="center"/>
      </w:pPr>
    </w:p>
    <w:p w:rsidR="004334F2" w:rsidRDefault="00A37FFE">
      <w:pPr>
        <w:jc w:val="center"/>
      </w:pPr>
      <w:r>
        <w:t>American National Standards Institute/Institute of Electrical and Electronics Engineers (</w:t>
      </w:r>
      <w:r w:rsidR="004334F2">
        <w:t>ANSI/IEEE</w:t>
      </w:r>
      <w:r w:rsidR="00E14F57">
        <w:t xml:space="preserve"> 1547</w:t>
      </w:r>
      <w:r>
        <w:t>)</w:t>
      </w:r>
      <w:r w:rsidR="004334F2">
        <w:t xml:space="preserve"> </w:t>
      </w:r>
    </w:p>
    <w:p w:rsidR="004334F2" w:rsidRDefault="004334F2">
      <w:pPr>
        <w:jc w:val="center"/>
      </w:pPr>
      <w:r>
        <w:t>National Electrical Safety Code (NESC)</w:t>
      </w:r>
    </w:p>
    <w:p w:rsidR="00C2373C" w:rsidRDefault="004334F2" w:rsidP="005E584C">
      <w:pPr>
        <w:jc w:val="center"/>
      </w:pPr>
      <w:r>
        <w:t>National Electrical Code (NEC</w:t>
      </w:r>
      <w:r w:rsidR="00A37FFE">
        <w:t>)</w:t>
      </w:r>
      <w:bookmarkStart w:id="0" w:name="_GoBack"/>
      <w:bookmarkEnd w:id="0"/>
    </w:p>
    <w:p w:rsidR="00C2373C" w:rsidRDefault="00C2373C">
      <w:pPr>
        <w:jc w:val="center"/>
      </w:pPr>
    </w:p>
    <w:p w:rsidR="00C2373C" w:rsidRDefault="00C2373C">
      <w:pPr>
        <w:jc w:val="center"/>
      </w:pPr>
    </w:p>
    <w:p w:rsidR="002A26CC" w:rsidRDefault="002A26CC">
      <w:pPr>
        <w:jc w:val="center"/>
      </w:pPr>
    </w:p>
    <w:p w:rsidR="002A26CC" w:rsidRPr="00232DCE" w:rsidRDefault="002A26CC" w:rsidP="002A26CC">
      <w:pPr>
        <w:pStyle w:val="Default"/>
        <w:spacing w:line="221" w:lineRule="atLeast"/>
        <w:jc w:val="center"/>
        <w:rPr>
          <w:color w:val="auto"/>
          <w:sz w:val="28"/>
          <w:szCs w:val="28"/>
        </w:rPr>
      </w:pPr>
      <w:r w:rsidRPr="00232DCE">
        <w:rPr>
          <w:rStyle w:val="A13"/>
          <w:bCs/>
          <w:color w:val="auto"/>
          <w:szCs w:val="28"/>
        </w:rPr>
        <w:t xml:space="preserve">NOTICE </w:t>
      </w:r>
    </w:p>
    <w:p w:rsidR="000566DB" w:rsidRPr="00E06493" w:rsidRDefault="000566DB" w:rsidP="00E06493">
      <w:pPr>
        <w:jc w:val="center"/>
        <w:rPr>
          <w:b/>
        </w:rPr>
      </w:pPr>
      <w:r w:rsidRPr="00E06493">
        <w:rPr>
          <w:b/>
        </w:rPr>
        <w:t>COGENERATION AND SMALL POWER PRODUCTION NOTICE</w:t>
      </w:r>
    </w:p>
    <w:p w:rsidR="000566DB" w:rsidRDefault="000566DB" w:rsidP="000566DB">
      <w:r>
        <w:t>The Minnesota State Legislature recently passed, and the Governor signed into law, legislation that allows electric cooperatives to adopt the authority implementing self-governing of distributed generation sites (Minnesota Statute 216B.164). To do so the cooperative had to pass a resolution adopting this authority and adopt rules implementing this section of statute.</w:t>
      </w:r>
    </w:p>
    <w:p w:rsidR="000566DB" w:rsidRDefault="000566DB" w:rsidP="000566DB">
      <w:r>
        <w:t>The purpose of this change is to secure local decision-making. The Cooperative will provide information regarding rates and interconnection requirements to all interested members free of charge upon request (www.mnvalleyrec.com). An application of interconnection is required for a Qualifying Facility to interconnect and operate in parallel with the Cooperative’s distribution system and is subject to approval by the Cooperative.</w:t>
      </w:r>
    </w:p>
    <w:p w:rsidR="000566DB" w:rsidRDefault="000566DB" w:rsidP="000566DB">
      <w:r>
        <w:t>Any disputes between the Cooperative and its members over interconnection, sales and purchases can be resolved between those parties and may be taken to a mutually agreed upon mediator as outlined in the rules implementing 216B.164.</w:t>
      </w:r>
    </w:p>
    <w:p w:rsidR="000566DB" w:rsidRDefault="000566DB" w:rsidP="002A26CC">
      <w:pPr>
        <w:pStyle w:val="Pa4"/>
        <w:jc w:val="center"/>
        <w:rPr>
          <w:rStyle w:val="A5"/>
          <w:bCs/>
          <w:sz w:val="23"/>
          <w:szCs w:val="23"/>
        </w:rPr>
      </w:pPr>
    </w:p>
    <w:p w:rsidR="002A26CC" w:rsidRPr="00232DCE" w:rsidRDefault="002A26CC" w:rsidP="002A26CC">
      <w:pPr>
        <w:pStyle w:val="Pa4"/>
        <w:jc w:val="center"/>
        <w:rPr>
          <w:sz w:val="21"/>
          <w:szCs w:val="21"/>
        </w:rPr>
      </w:pPr>
      <w:r w:rsidRPr="00232DCE">
        <w:rPr>
          <w:rStyle w:val="A22"/>
          <w:bCs/>
          <w:szCs w:val="21"/>
        </w:rPr>
        <w:t xml:space="preserve">Members interested in obtaining further information should contact </w:t>
      </w:r>
    </w:p>
    <w:p w:rsidR="002A26CC" w:rsidRPr="00232DCE" w:rsidRDefault="00232DCE" w:rsidP="002A26CC">
      <w:pPr>
        <w:pStyle w:val="Pa4"/>
        <w:jc w:val="center"/>
        <w:rPr>
          <w:sz w:val="21"/>
          <w:szCs w:val="21"/>
        </w:rPr>
      </w:pPr>
      <w:r w:rsidRPr="00232DCE">
        <w:rPr>
          <w:rStyle w:val="A22"/>
          <w:bCs/>
          <w:szCs w:val="21"/>
        </w:rPr>
        <w:t>Robert Walsh</w:t>
      </w:r>
      <w:r w:rsidR="002A26CC" w:rsidRPr="00232DCE">
        <w:rPr>
          <w:rStyle w:val="A22"/>
          <w:bCs/>
          <w:szCs w:val="21"/>
        </w:rPr>
        <w:t xml:space="preserve">, </w:t>
      </w:r>
    </w:p>
    <w:p w:rsidR="002A26CC" w:rsidRPr="00232DCE" w:rsidRDefault="002A26CC" w:rsidP="002A26CC">
      <w:pPr>
        <w:pStyle w:val="Pa4"/>
        <w:jc w:val="center"/>
        <w:rPr>
          <w:sz w:val="21"/>
          <w:szCs w:val="21"/>
        </w:rPr>
      </w:pPr>
      <w:r w:rsidRPr="00232DCE">
        <w:rPr>
          <w:rStyle w:val="A22"/>
          <w:bCs/>
          <w:szCs w:val="21"/>
        </w:rPr>
        <w:t xml:space="preserve">Minnesota Valley </w:t>
      </w:r>
      <w:r w:rsidR="00232DCE" w:rsidRPr="00232DCE">
        <w:rPr>
          <w:rStyle w:val="A22"/>
          <w:bCs/>
          <w:szCs w:val="21"/>
        </w:rPr>
        <w:t>Member Services</w:t>
      </w:r>
      <w:r w:rsidRPr="00232DCE">
        <w:rPr>
          <w:rStyle w:val="A22"/>
          <w:bCs/>
          <w:szCs w:val="21"/>
        </w:rPr>
        <w:t xml:space="preserve"> Mgr. </w:t>
      </w:r>
    </w:p>
    <w:p w:rsidR="009E73FF" w:rsidRDefault="002A26CC" w:rsidP="000566DB">
      <w:pPr>
        <w:pStyle w:val="Pa4"/>
        <w:jc w:val="center"/>
      </w:pPr>
      <w:proofErr w:type="gramStart"/>
      <w:r w:rsidRPr="00232DCE">
        <w:rPr>
          <w:rStyle w:val="A22"/>
          <w:bCs/>
          <w:szCs w:val="21"/>
        </w:rPr>
        <w:t>at</w:t>
      </w:r>
      <w:proofErr w:type="gramEnd"/>
      <w:r w:rsidRPr="00232DCE">
        <w:rPr>
          <w:rStyle w:val="A22"/>
          <w:bCs/>
          <w:szCs w:val="21"/>
        </w:rPr>
        <w:t>: 320.269.2163/800.247.5051</w:t>
      </w:r>
      <w:r w:rsidRPr="002A26CC">
        <w:rPr>
          <w:rStyle w:val="A22"/>
          <w:bCs/>
          <w:szCs w:val="21"/>
        </w:rPr>
        <w:t xml:space="preserve"> </w:t>
      </w:r>
    </w:p>
    <w:p w:rsidR="009E73FF" w:rsidRDefault="009E73FF"/>
    <w:p w:rsidR="009E73FF" w:rsidRDefault="009E73FF"/>
    <w:p w:rsidR="009E73FF" w:rsidRDefault="009E73FF"/>
    <w:p w:rsidR="009E73FF" w:rsidRDefault="009E73FF"/>
    <w:p w:rsidR="009E73FF" w:rsidRDefault="009E73FF"/>
    <w:p w:rsidR="009E73FF" w:rsidRDefault="009E73FF"/>
    <w:p w:rsidR="009E73FF" w:rsidRDefault="009E73FF"/>
    <w:p w:rsidR="009E73FF" w:rsidRDefault="009E73FF"/>
    <w:sectPr w:rsidR="009E73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B5" w:rsidRDefault="00B513B5">
      <w:r>
        <w:separator/>
      </w:r>
    </w:p>
  </w:endnote>
  <w:endnote w:type="continuationSeparator" w:id="0">
    <w:p w:rsidR="00B513B5" w:rsidRDefault="00B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A5" w:rsidRDefault="00C83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E4" w:rsidRPr="001D2EC0" w:rsidRDefault="00DE73E4">
    <w:pPr>
      <w:pStyle w:val="Footer"/>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A5" w:rsidRDefault="00C83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B5" w:rsidRDefault="00B513B5">
      <w:r>
        <w:separator/>
      </w:r>
    </w:p>
  </w:footnote>
  <w:footnote w:type="continuationSeparator" w:id="0">
    <w:p w:rsidR="00B513B5" w:rsidRDefault="00B5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A5" w:rsidRDefault="00C83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A5" w:rsidRDefault="00C83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E5297"/>
    <w:multiLevelType w:val="hybridMultilevel"/>
    <w:tmpl w:val="7DCA4ACA"/>
    <w:lvl w:ilvl="0" w:tplc="74A8AF8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7"/>
    <w:rsid w:val="000056EA"/>
    <w:rsid w:val="00021497"/>
    <w:rsid w:val="0002616F"/>
    <w:rsid w:val="00026605"/>
    <w:rsid w:val="00027133"/>
    <w:rsid w:val="000334A0"/>
    <w:rsid w:val="00037590"/>
    <w:rsid w:val="00042F33"/>
    <w:rsid w:val="00051748"/>
    <w:rsid w:val="0005183A"/>
    <w:rsid w:val="00051FB8"/>
    <w:rsid w:val="000554A5"/>
    <w:rsid w:val="000566DB"/>
    <w:rsid w:val="00063418"/>
    <w:rsid w:val="00064F9D"/>
    <w:rsid w:val="00087305"/>
    <w:rsid w:val="000A6AAB"/>
    <w:rsid w:val="000B160C"/>
    <w:rsid w:val="000B44F6"/>
    <w:rsid w:val="000B7F2A"/>
    <w:rsid w:val="000C3317"/>
    <w:rsid w:val="000C64AE"/>
    <w:rsid w:val="000D4189"/>
    <w:rsid w:val="000E1A69"/>
    <w:rsid w:val="0010788E"/>
    <w:rsid w:val="00116F1D"/>
    <w:rsid w:val="00122113"/>
    <w:rsid w:val="00122451"/>
    <w:rsid w:val="00131FDA"/>
    <w:rsid w:val="00132D58"/>
    <w:rsid w:val="00140457"/>
    <w:rsid w:val="001503BF"/>
    <w:rsid w:val="00150B81"/>
    <w:rsid w:val="00172E3F"/>
    <w:rsid w:val="00182645"/>
    <w:rsid w:val="00184DA9"/>
    <w:rsid w:val="001905D8"/>
    <w:rsid w:val="001956AD"/>
    <w:rsid w:val="001962D6"/>
    <w:rsid w:val="001A69B2"/>
    <w:rsid w:val="001A72E3"/>
    <w:rsid w:val="001B0BA4"/>
    <w:rsid w:val="001B1F72"/>
    <w:rsid w:val="001C0603"/>
    <w:rsid w:val="001C333D"/>
    <w:rsid w:val="001C560A"/>
    <w:rsid w:val="001D08E6"/>
    <w:rsid w:val="001D2EC0"/>
    <w:rsid w:val="001E4D34"/>
    <w:rsid w:val="001E567B"/>
    <w:rsid w:val="0020549D"/>
    <w:rsid w:val="0022539F"/>
    <w:rsid w:val="00232DCE"/>
    <w:rsid w:val="00245844"/>
    <w:rsid w:val="00245911"/>
    <w:rsid w:val="00255D0B"/>
    <w:rsid w:val="00281316"/>
    <w:rsid w:val="00281381"/>
    <w:rsid w:val="002951AD"/>
    <w:rsid w:val="002A0DEA"/>
    <w:rsid w:val="002A1273"/>
    <w:rsid w:val="002A19D0"/>
    <w:rsid w:val="002A26CC"/>
    <w:rsid w:val="002C1DF1"/>
    <w:rsid w:val="002D5DEA"/>
    <w:rsid w:val="002E1289"/>
    <w:rsid w:val="002F024F"/>
    <w:rsid w:val="002F3489"/>
    <w:rsid w:val="002F3A32"/>
    <w:rsid w:val="002F5683"/>
    <w:rsid w:val="00305457"/>
    <w:rsid w:val="00343B83"/>
    <w:rsid w:val="00351153"/>
    <w:rsid w:val="00355636"/>
    <w:rsid w:val="00366C2B"/>
    <w:rsid w:val="00397EBF"/>
    <w:rsid w:val="003A54D1"/>
    <w:rsid w:val="003D1B1C"/>
    <w:rsid w:val="003E621C"/>
    <w:rsid w:val="003E7D7D"/>
    <w:rsid w:val="003F1937"/>
    <w:rsid w:val="004110AD"/>
    <w:rsid w:val="00411874"/>
    <w:rsid w:val="00413DE1"/>
    <w:rsid w:val="00414DAF"/>
    <w:rsid w:val="0043336D"/>
    <w:rsid w:val="004334F2"/>
    <w:rsid w:val="00441EE1"/>
    <w:rsid w:val="00443715"/>
    <w:rsid w:val="004530B7"/>
    <w:rsid w:val="0046098F"/>
    <w:rsid w:val="00460D09"/>
    <w:rsid w:val="00463D5C"/>
    <w:rsid w:val="00465196"/>
    <w:rsid w:val="00470DF6"/>
    <w:rsid w:val="004739C8"/>
    <w:rsid w:val="0048315A"/>
    <w:rsid w:val="00490496"/>
    <w:rsid w:val="00490880"/>
    <w:rsid w:val="00492142"/>
    <w:rsid w:val="004A206D"/>
    <w:rsid w:val="004A6A4B"/>
    <w:rsid w:val="004B005D"/>
    <w:rsid w:val="004D4472"/>
    <w:rsid w:val="004D5CEC"/>
    <w:rsid w:val="004E665E"/>
    <w:rsid w:val="004F25AB"/>
    <w:rsid w:val="00507B8C"/>
    <w:rsid w:val="00515F40"/>
    <w:rsid w:val="005324BF"/>
    <w:rsid w:val="00536901"/>
    <w:rsid w:val="00543012"/>
    <w:rsid w:val="00547061"/>
    <w:rsid w:val="00566DE7"/>
    <w:rsid w:val="005721D4"/>
    <w:rsid w:val="0057352E"/>
    <w:rsid w:val="00587F64"/>
    <w:rsid w:val="0059284A"/>
    <w:rsid w:val="005944F3"/>
    <w:rsid w:val="005B5AB4"/>
    <w:rsid w:val="005B7DAF"/>
    <w:rsid w:val="005C7E8E"/>
    <w:rsid w:val="005D7C9E"/>
    <w:rsid w:val="005E584C"/>
    <w:rsid w:val="005F1929"/>
    <w:rsid w:val="00604057"/>
    <w:rsid w:val="00606F3A"/>
    <w:rsid w:val="00607BF5"/>
    <w:rsid w:val="00613958"/>
    <w:rsid w:val="0063622C"/>
    <w:rsid w:val="00661E9F"/>
    <w:rsid w:val="00664270"/>
    <w:rsid w:val="006736C9"/>
    <w:rsid w:val="006739E9"/>
    <w:rsid w:val="00673AA0"/>
    <w:rsid w:val="00683072"/>
    <w:rsid w:val="00683F55"/>
    <w:rsid w:val="00684B29"/>
    <w:rsid w:val="00694770"/>
    <w:rsid w:val="006A567D"/>
    <w:rsid w:val="006B323B"/>
    <w:rsid w:val="006D1C0F"/>
    <w:rsid w:val="006D60DA"/>
    <w:rsid w:val="007025CD"/>
    <w:rsid w:val="00704BC2"/>
    <w:rsid w:val="00712342"/>
    <w:rsid w:val="0071446F"/>
    <w:rsid w:val="007200D6"/>
    <w:rsid w:val="007216FF"/>
    <w:rsid w:val="0075122C"/>
    <w:rsid w:val="00755370"/>
    <w:rsid w:val="007618FB"/>
    <w:rsid w:val="0076322F"/>
    <w:rsid w:val="0076693F"/>
    <w:rsid w:val="00775FA0"/>
    <w:rsid w:val="00777F7C"/>
    <w:rsid w:val="00792A9F"/>
    <w:rsid w:val="007A0AC6"/>
    <w:rsid w:val="007B51DA"/>
    <w:rsid w:val="007C1747"/>
    <w:rsid w:val="007C17D1"/>
    <w:rsid w:val="007C7DA9"/>
    <w:rsid w:val="007D6354"/>
    <w:rsid w:val="007E3DF9"/>
    <w:rsid w:val="007E3E34"/>
    <w:rsid w:val="007F5431"/>
    <w:rsid w:val="007F5B57"/>
    <w:rsid w:val="00800E3C"/>
    <w:rsid w:val="00805C54"/>
    <w:rsid w:val="00806A1D"/>
    <w:rsid w:val="00813361"/>
    <w:rsid w:val="008172BB"/>
    <w:rsid w:val="00834296"/>
    <w:rsid w:val="0084034D"/>
    <w:rsid w:val="00842601"/>
    <w:rsid w:val="008565A9"/>
    <w:rsid w:val="00856C1B"/>
    <w:rsid w:val="00873B4C"/>
    <w:rsid w:val="00876258"/>
    <w:rsid w:val="00884035"/>
    <w:rsid w:val="00887A85"/>
    <w:rsid w:val="008A11AA"/>
    <w:rsid w:val="008A3C94"/>
    <w:rsid w:val="008E66B0"/>
    <w:rsid w:val="008F335E"/>
    <w:rsid w:val="008F4749"/>
    <w:rsid w:val="009075E3"/>
    <w:rsid w:val="00913CD4"/>
    <w:rsid w:val="009146A5"/>
    <w:rsid w:val="00917113"/>
    <w:rsid w:val="00917BB8"/>
    <w:rsid w:val="00933A3F"/>
    <w:rsid w:val="0094038D"/>
    <w:rsid w:val="00940D20"/>
    <w:rsid w:val="00965444"/>
    <w:rsid w:val="00965C61"/>
    <w:rsid w:val="0097381A"/>
    <w:rsid w:val="009814D4"/>
    <w:rsid w:val="0098500B"/>
    <w:rsid w:val="009919DF"/>
    <w:rsid w:val="009B0F7B"/>
    <w:rsid w:val="009B1E9F"/>
    <w:rsid w:val="009C413B"/>
    <w:rsid w:val="009C5CA3"/>
    <w:rsid w:val="009C6DCD"/>
    <w:rsid w:val="009E4943"/>
    <w:rsid w:val="009E73FF"/>
    <w:rsid w:val="009F6705"/>
    <w:rsid w:val="00A02A24"/>
    <w:rsid w:val="00A03A65"/>
    <w:rsid w:val="00A133C4"/>
    <w:rsid w:val="00A2508D"/>
    <w:rsid w:val="00A309CE"/>
    <w:rsid w:val="00A37FFE"/>
    <w:rsid w:val="00A43F5D"/>
    <w:rsid w:val="00A44CE5"/>
    <w:rsid w:val="00A47747"/>
    <w:rsid w:val="00A53D30"/>
    <w:rsid w:val="00A704E5"/>
    <w:rsid w:val="00A72DB9"/>
    <w:rsid w:val="00A73CBF"/>
    <w:rsid w:val="00A73DCF"/>
    <w:rsid w:val="00A80251"/>
    <w:rsid w:val="00AA75BE"/>
    <w:rsid w:val="00AB69EF"/>
    <w:rsid w:val="00AC2CCC"/>
    <w:rsid w:val="00AC63C9"/>
    <w:rsid w:val="00AD5DA9"/>
    <w:rsid w:val="00AE32E0"/>
    <w:rsid w:val="00B22903"/>
    <w:rsid w:val="00B22947"/>
    <w:rsid w:val="00B26578"/>
    <w:rsid w:val="00B3093C"/>
    <w:rsid w:val="00B41203"/>
    <w:rsid w:val="00B4218D"/>
    <w:rsid w:val="00B4231F"/>
    <w:rsid w:val="00B513B5"/>
    <w:rsid w:val="00B525A2"/>
    <w:rsid w:val="00B562BE"/>
    <w:rsid w:val="00B662D2"/>
    <w:rsid w:val="00B7153E"/>
    <w:rsid w:val="00BA68B1"/>
    <w:rsid w:val="00BB08EB"/>
    <w:rsid w:val="00BE6585"/>
    <w:rsid w:val="00BF11B1"/>
    <w:rsid w:val="00C07011"/>
    <w:rsid w:val="00C2373C"/>
    <w:rsid w:val="00C2512A"/>
    <w:rsid w:val="00C41467"/>
    <w:rsid w:val="00C42D98"/>
    <w:rsid w:val="00C5343D"/>
    <w:rsid w:val="00C53F67"/>
    <w:rsid w:val="00C56C04"/>
    <w:rsid w:val="00C62F4C"/>
    <w:rsid w:val="00C73046"/>
    <w:rsid w:val="00C77492"/>
    <w:rsid w:val="00C83EA5"/>
    <w:rsid w:val="00C84F10"/>
    <w:rsid w:val="00C85929"/>
    <w:rsid w:val="00CB0885"/>
    <w:rsid w:val="00CB0C00"/>
    <w:rsid w:val="00CC1422"/>
    <w:rsid w:val="00CC50C7"/>
    <w:rsid w:val="00CE4293"/>
    <w:rsid w:val="00CF4343"/>
    <w:rsid w:val="00D21148"/>
    <w:rsid w:val="00D226FB"/>
    <w:rsid w:val="00D2459B"/>
    <w:rsid w:val="00D30084"/>
    <w:rsid w:val="00D3541B"/>
    <w:rsid w:val="00D426B9"/>
    <w:rsid w:val="00D466DA"/>
    <w:rsid w:val="00D5432A"/>
    <w:rsid w:val="00D55A09"/>
    <w:rsid w:val="00D85DDC"/>
    <w:rsid w:val="00D92C62"/>
    <w:rsid w:val="00DB50D5"/>
    <w:rsid w:val="00DC00EE"/>
    <w:rsid w:val="00DC4FB9"/>
    <w:rsid w:val="00DC53B7"/>
    <w:rsid w:val="00DE1E90"/>
    <w:rsid w:val="00DE3F5C"/>
    <w:rsid w:val="00DE508C"/>
    <w:rsid w:val="00DE73E4"/>
    <w:rsid w:val="00E036D2"/>
    <w:rsid w:val="00E06493"/>
    <w:rsid w:val="00E105F2"/>
    <w:rsid w:val="00E14F57"/>
    <w:rsid w:val="00E2793C"/>
    <w:rsid w:val="00E47DBA"/>
    <w:rsid w:val="00E94094"/>
    <w:rsid w:val="00E95243"/>
    <w:rsid w:val="00EA2536"/>
    <w:rsid w:val="00ED559D"/>
    <w:rsid w:val="00EF1363"/>
    <w:rsid w:val="00F166F0"/>
    <w:rsid w:val="00F26DBA"/>
    <w:rsid w:val="00F31808"/>
    <w:rsid w:val="00F334A4"/>
    <w:rsid w:val="00F35B3C"/>
    <w:rsid w:val="00F36131"/>
    <w:rsid w:val="00F71BBC"/>
    <w:rsid w:val="00F76F08"/>
    <w:rsid w:val="00F837B8"/>
    <w:rsid w:val="00F84684"/>
    <w:rsid w:val="00F94C0A"/>
    <w:rsid w:val="00F97BC0"/>
    <w:rsid w:val="00FA1CAD"/>
    <w:rsid w:val="00FA31CA"/>
    <w:rsid w:val="00FA4099"/>
    <w:rsid w:val="00FB2367"/>
    <w:rsid w:val="00FB368E"/>
    <w:rsid w:val="00FB7F97"/>
    <w:rsid w:val="00FC4908"/>
    <w:rsid w:val="00FC5AAB"/>
    <w:rsid w:val="00FD5A6C"/>
    <w:rsid w:val="00FE1808"/>
    <w:rsid w:val="00FF026F"/>
    <w:rsid w:val="00FF3A67"/>
    <w:rsid w:val="00FF4588"/>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F3558461-4F3B-4D20-B1FE-9D4A825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semiHidden="1" w:uiPriority="0" w:unhideWhenUsed="1"/>
    <w:lsdException w:name="Strong" w:uiPriority="22" w:qFormat="1"/>
    <w:lsdException w:name="Emphasis" w:uiPriority="20" w:qFormat="1"/>
    <w:lsdException w:name="HTML Preformatted"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
    <w:semiHidden/>
    <w:unhideWhenUsed/>
    <w:qFormat/>
    <w:rsid w:val="00C237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237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237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2373C"/>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sid w:val="00C2373C"/>
    <w:rPr>
      <w:rFonts w:ascii="Cambria" w:hAnsi="Cambria" w:cs="Times New Roman"/>
      <w:b/>
      <w:sz w:val="26"/>
    </w:rPr>
  </w:style>
  <w:style w:type="character" w:customStyle="1" w:styleId="Heading4Char">
    <w:name w:val="Heading 4 Char"/>
    <w:basedOn w:val="DefaultParagraphFont"/>
    <w:link w:val="Heading4"/>
    <w:uiPriority w:val="9"/>
    <w:semiHidden/>
    <w:locked/>
    <w:rsid w:val="00C2373C"/>
    <w:rPr>
      <w:rFonts w:ascii="Calibri" w:hAnsi="Calibri" w:cs="Times New Roman"/>
      <w:b/>
      <w:sz w:val="28"/>
    </w:rPr>
  </w:style>
  <w:style w:type="character" w:customStyle="1" w:styleId="Heading5Char">
    <w:name w:val="Heading 5 Char"/>
    <w:basedOn w:val="DefaultParagraphFont"/>
    <w:link w:val="Heading5"/>
    <w:uiPriority w:val="9"/>
    <w:semiHidden/>
    <w:locked/>
    <w:rsid w:val="00C2373C"/>
    <w:rPr>
      <w:rFonts w:ascii="Calibri" w:hAnsi="Calibri" w:cs="Times New Roman"/>
      <w:b/>
      <w:i/>
      <w:sz w:val="26"/>
    </w:rPr>
  </w:style>
  <w:style w:type="character" w:customStyle="1" w:styleId="Heading6Char">
    <w:name w:val="Heading 6 Char"/>
    <w:basedOn w:val="DefaultParagraphFont"/>
    <w:link w:val="Heading6"/>
    <w:uiPriority w:val="9"/>
    <w:semiHidden/>
    <w:locked/>
    <w:rsid w:val="00C2373C"/>
    <w:rPr>
      <w:rFonts w:ascii="Calibri" w:hAnsi="Calibri" w:cs="Times New Roman"/>
      <w: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sid w:val="00F837B8"/>
    <w:rPr>
      <w:rFonts w:cs="Times New Roman"/>
      <w:color w:val="0000FF"/>
      <w:u w:val="single"/>
    </w:rPr>
  </w:style>
  <w:style w:type="paragraph" w:styleId="HTMLPreformatted">
    <w:name w:val="HTML Preformatted"/>
    <w:basedOn w:val="Normal"/>
    <w:link w:val="HTMLPreformattedChar"/>
    <w:uiPriority w:val="99"/>
    <w:rsid w:val="00F83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837B8"/>
    <w:rPr>
      <w:rFonts w:ascii="Courier New" w:hAnsi="Courier New" w:cs="Times New Roman"/>
      <w:sz w:val="20"/>
    </w:rPr>
  </w:style>
  <w:style w:type="paragraph" w:styleId="BodyText">
    <w:name w:val="Body Text"/>
    <w:basedOn w:val="Normal"/>
    <w:link w:val="BodyTextChar"/>
    <w:uiPriority w:val="99"/>
    <w:rsid w:val="00C2373C"/>
    <w:pPr>
      <w:autoSpaceDE/>
      <w:autoSpaceDN/>
    </w:pPr>
    <w:rPr>
      <w:szCs w:val="20"/>
    </w:rPr>
  </w:style>
  <w:style w:type="character" w:customStyle="1" w:styleId="BodyTextChar">
    <w:name w:val="Body Text Char"/>
    <w:basedOn w:val="DefaultParagraphFont"/>
    <w:link w:val="BodyText"/>
    <w:uiPriority w:val="99"/>
    <w:locked/>
    <w:rsid w:val="00C2373C"/>
    <w:rPr>
      <w:rFonts w:cs="Times New Roman"/>
      <w:sz w:val="20"/>
    </w:rPr>
  </w:style>
  <w:style w:type="paragraph" w:styleId="BodyText2">
    <w:name w:val="Body Text 2"/>
    <w:basedOn w:val="Normal"/>
    <w:link w:val="BodyText2Char"/>
    <w:uiPriority w:val="99"/>
    <w:rsid w:val="00C2373C"/>
    <w:pPr>
      <w:autoSpaceDE/>
      <w:autoSpaceDN/>
    </w:pPr>
    <w:rPr>
      <w:b/>
      <w:szCs w:val="20"/>
    </w:rPr>
  </w:style>
  <w:style w:type="character" w:customStyle="1" w:styleId="BodyText2Char">
    <w:name w:val="Body Text 2 Char"/>
    <w:basedOn w:val="DefaultParagraphFont"/>
    <w:link w:val="BodyText2"/>
    <w:uiPriority w:val="99"/>
    <w:locked/>
    <w:rsid w:val="00C2373C"/>
    <w:rPr>
      <w:rFonts w:cs="Times New Roman"/>
      <w:b/>
      <w:sz w:val="20"/>
    </w:rPr>
  </w:style>
  <w:style w:type="paragraph" w:customStyle="1" w:styleId="Default">
    <w:name w:val="Default"/>
    <w:rsid w:val="002A26CC"/>
    <w:pPr>
      <w:autoSpaceDE w:val="0"/>
      <w:autoSpaceDN w:val="0"/>
      <w:adjustRightInd w:val="0"/>
    </w:pPr>
    <w:rPr>
      <w:color w:val="000000"/>
      <w:sz w:val="24"/>
      <w:szCs w:val="24"/>
    </w:rPr>
  </w:style>
  <w:style w:type="paragraph" w:customStyle="1" w:styleId="Pa4">
    <w:name w:val="Pa4"/>
    <w:basedOn w:val="Default"/>
    <w:next w:val="Default"/>
    <w:uiPriority w:val="99"/>
    <w:rsid w:val="002A26CC"/>
    <w:pPr>
      <w:spacing w:line="221" w:lineRule="atLeast"/>
    </w:pPr>
    <w:rPr>
      <w:color w:val="auto"/>
    </w:rPr>
  </w:style>
  <w:style w:type="character" w:customStyle="1" w:styleId="A13">
    <w:name w:val="A13"/>
    <w:uiPriority w:val="99"/>
    <w:rsid w:val="002A26CC"/>
    <w:rPr>
      <w:b/>
      <w:color w:val="000000"/>
      <w:sz w:val="28"/>
    </w:rPr>
  </w:style>
  <w:style w:type="character" w:customStyle="1" w:styleId="A5">
    <w:name w:val="A5"/>
    <w:uiPriority w:val="99"/>
    <w:rsid w:val="002A26CC"/>
    <w:rPr>
      <w:b/>
      <w:color w:val="000000"/>
    </w:rPr>
  </w:style>
  <w:style w:type="character" w:customStyle="1" w:styleId="A22">
    <w:name w:val="A22"/>
    <w:uiPriority w:val="99"/>
    <w:rsid w:val="002A26CC"/>
    <w:rPr>
      <w:b/>
      <w:color w:val="000000"/>
      <w:sz w:val="21"/>
    </w:rPr>
  </w:style>
  <w:style w:type="paragraph" w:customStyle="1" w:styleId="Pa0">
    <w:name w:val="Pa0"/>
    <w:basedOn w:val="Default"/>
    <w:next w:val="Default"/>
    <w:uiPriority w:val="99"/>
    <w:rsid w:val="002A26CC"/>
    <w:pPr>
      <w:spacing w:line="241" w:lineRule="atLeast"/>
    </w:pPr>
    <w:rPr>
      <w:color w:val="auto"/>
    </w:rPr>
  </w:style>
  <w:style w:type="character" w:customStyle="1" w:styleId="A11">
    <w:name w:val="A11"/>
    <w:uiPriority w:val="99"/>
    <w:rsid w:val="002A26CC"/>
    <w:rPr>
      <w:b/>
      <w:color w:val="000000"/>
      <w:sz w:val="36"/>
    </w:rPr>
  </w:style>
  <w:style w:type="paragraph" w:customStyle="1" w:styleId="Pa1">
    <w:name w:val="Pa1"/>
    <w:basedOn w:val="Default"/>
    <w:next w:val="Default"/>
    <w:uiPriority w:val="99"/>
    <w:rsid w:val="002A26CC"/>
    <w:pPr>
      <w:spacing w:line="241" w:lineRule="atLeast"/>
    </w:pPr>
    <w:rPr>
      <w:color w:val="auto"/>
    </w:rPr>
  </w:style>
  <w:style w:type="paragraph" w:styleId="BalloonText">
    <w:name w:val="Balloon Text"/>
    <w:basedOn w:val="Normal"/>
    <w:link w:val="BalloonTextChar"/>
    <w:uiPriority w:val="99"/>
    <w:semiHidden/>
    <w:unhideWhenUsed/>
    <w:rsid w:val="00B309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93C"/>
    <w:rPr>
      <w:rFonts w:ascii="Tahoma" w:hAnsi="Tahoma" w:cs="Times New Roman"/>
      <w:sz w:val="16"/>
    </w:rPr>
  </w:style>
  <w:style w:type="paragraph" w:styleId="ListParagraph">
    <w:name w:val="List Paragraph"/>
    <w:basedOn w:val="Normal"/>
    <w:uiPriority w:val="34"/>
    <w:qFormat/>
    <w:rsid w:val="007618FB"/>
    <w:pPr>
      <w:autoSpaceDE/>
      <w:autoSpaceDN/>
      <w:spacing w:after="200" w:line="276" w:lineRule="auto"/>
      <w:ind w:left="720"/>
      <w:contextualSpacing/>
    </w:pPr>
    <w:rPr>
      <w:rFonts w:ascii="Calibri" w:hAnsi="Calibri"/>
    </w:rPr>
  </w:style>
  <w:style w:type="paragraph" w:customStyle="1" w:styleId="CM1">
    <w:name w:val="CM1"/>
    <w:basedOn w:val="Default"/>
    <w:next w:val="Default"/>
    <w:uiPriority w:val="99"/>
    <w:rsid w:val="009E73FF"/>
    <w:pPr>
      <w:widowControl w:val="0"/>
      <w:spacing w:line="276" w:lineRule="atLeast"/>
    </w:pPr>
    <w:rPr>
      <w:rFonts w:ascii="Arial" w:hAnsi="Arial" w:cs="Arial"/>
      <w:color w:val="auto"/>
    </w:rPr>
  </w:style>
  <w:style w:type="paragraph" w:customStyle="1" w:styleId="CM2">
    <w:name w:val="CM2"/>
    <w:basedOn w:val="Default"/>
    <w:next w:val="Default"/>
    <w:uiPriority w:val="99"/>
    <w:rsid w:val="009E73FF"/>
    <w:pPr>
      <w:widowControl w:val="0"/>
      <w:spacing w:line="276" w:lineRule="atLeast"/>
    </w:pPr>
    <w:rPr>
      <w:rFonts w:ascii="Arial" w:hAnsi="Arial" w:cs="Arial"/>
      <w:color w:val="auto"/>
    </w:rPr>
  </w:style>
  <w:style w:type="paragraph" w:customStyle="1" w:styleId="CM14">
    <w:name w:val="CM14"/>
    <w:basedOn w:val="Default"/>
    <w:next w:val="Default"/>
    <w:uiPriority w:val="99"/>
    <w:rsid w:val="009E73FF"/>
    <w:pPr>
      <w:widowControl w:val="0"/>
      <w:spacing w:after="275"/>
    </w:pPr>
    <w:rPr>
      <w:rFonts w:ascii="Arial" w:hAnsi="Arial" w:cs="Arial"/>
      <w:color w:val="auto"/>
    </w:rPr>
  </w:style>
  <w:style w:type="paragraph" w:customStyle="1" w:styleId="CM3">
    <w:name w:val="CM3"/>
    <w:basedOn w:val="Default"/>
    <w:next w:val="Default"/>
    <w:uiPriority w:val="99"/>
    <w:rsid w:val="009E73FF"/>
    <w:pPr>
      <w:widowControl w:val="0"/>
      <w:spacing w:line="27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6091">
      <w:marLeft w:val="0"/>
      <w:marRight w:val="0"/>
      <w:marTop w:val="0"/>
      <w:marBottom w:val="0"/>
      <w:divBdr>
        <w:top w:val="none" w:sz="0" w:space="0" w:color="auto"/>
        <w:left w:val="none" w:sz="0" w:space="0" w:color="auto"/>
        <w:bottom w:val="none" w:sz="0" w:space="0" w:color="auto"/>
        <w:right w:val="none" w:sz="0" w:space="0" w:color="auto"/>
      </w:divBdr>
    </w:div>
    <w:div w:id="1455514614">
      <w:bodyDiv w:val="1"/>
      <w:marLeft w:val="0"/>
      <w:marRight w:val="0"/>
      <w:marTop w:val="0"/>
      <w:marBottom w:val="0"/>
      <w:divBdr>
        <w:top w:val="none" w:sz="0" w:space="0" w:color="auto"/>
        <w:left w:val="none" w:sz="0" w:space="0" w:color="auto"/>
        <w:bottom w:val="none" w:sz="0" w:space="0" w:color="auto"/>
        <w:right w:val="none" w:sz="0" w:space="0" w:color="auto"/>
      </w:divBdr>
    </w:div>
    <w:div w:id="17866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A6B8-4FF3-4B3B-82FA-432E8671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490</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24, 1994</vt:lpstr>
    </vt:vector>
  </TitlesOfParts>
  <Company>Hewlett-Packard Company</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1994</dc:title>
  <dc:subject/>
  <dc:creator>Bob Walsh</dc:creator>
  <cp:keywords/>
  <dc:description/>
  <cp:lastModifiedBy>Mark Johnson</cp:lastModifiedBy>
  <cp:revision>3</cp:revision>
  <cp:lastPrinted>2017-07-07T15:00:00Z</cp:lastPrinted>
  <dcterms:created xsi:type="dcterms:W3CDTF">2020-01-31T16:00:00Z</dcterms:created>
  <dcterms:modified xsi:type="dcterms:W3CDTF">2020-02-04T14:25:00Z</dcterms:modified>
</cp:coreProperties>
</file>